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df" ContentType="application/pdf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entered"/>
      </w:pPr>
      <w:r>
        <w:rPr>
          <w:rFonts w:ascii="Arial" w:hAnsi="Arial" w:eastAsia="Arial" w:cs="Arial"/>
          <w:i w:val="false"/>
          <w:b w:val="false"/>
          <w:u w:val="none"/>
          <w:sz w:val="20"/>
          <w:szCs w:val="20"/>
          <w:color w:val="000000"/>
        </w:rPr>
        <w:t xml:space="preserve">Table 5</w:t>
      </w:r>
    </w:p>
    <w:p>
      <w:pPr>
        <w:pStyle w:val="centered"/>
      </w:pPr>
      <w:r>
        <w:rPr>
          <w:rFonts w:ascii="Arial" w:hAnsi="Arial" w:eastAsia="Arial" w:cs="Arial"/>
          <w:i w:val="false"/>
          <w:b w:val="false"/>
          <w:u w:val="none"/>
          <w:sz w:val="20"/>
          <w:szCs w:val="20"/>
          <w:color w:val="000000"/>
        </w:rPr>
        <w:t xml:space="preserve">Summary of ROC Analysis for PK Parameters as Predictors</w:t>
      </w:r>
    </w:p>
    <w:p>
      <w:pPr>
        <w:pStyle w:val="centered"/>
      </w:pPr>
      <w:r>
        <w:rPr>
          <w:rFonts w:ascii="Arial" w:hAnsi="Arial" w:eastAsia="Arial" w:cs="Arial"/>
          <w:i w:val="false"/>
          <w:b w:val="false"/>
          <w:u w:val="none"/>
          <w:sz w:val="20"/>
          <w:szCs w:val="20"/>
          <w:color w:val="000000"/>
        </w:rPr>
        <w:t xml:space="preserve">PK Analysis Set</w:t>
      </w:r>
    </w:p>
    <w:p>
      <w:pPr>
        <w:pStyle w:val="Normal"/>
      </w:pPr>
      <w:r>
        <w:t xml:space="preserve"/>
      </w:r>
    </w:p>
    <w:p>
      <w:pPr>
        <w:pStyle w:val="Normal"/>
      </w:pPr>
      <w:r>
        <w:rPr>
          <w:rFonts w:ascii="Arial" w:hAnsi="Arial" w:eastAsia="Arial" w:cs="Arial"/>
          <w:i w:val="false"/>
          <w:b w:val="false"/>
          <w:u w:val="none"/>
          <w:sz w:val="20"/>
          <w:szCs w:val="20"/>
          <w:color w:val="000000"/>
        </w:rPr>
        <w:t xml:space="preserve">Study Part: Part XXX</w:t>
      </w:r>
    </w:p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330"/>
        <w:gridCol w:w="2135"/>
        <w:gridCol w:w="1230"/>
        <w:gridCol w:w="1401"/>
        <w:gridCol w:w="1401"/>
      </w:tblGrid>
      <w:tr>
        <w:trPr>
          <w:trHeight w:val="617" w:hRule="auto"/>
          <w:tblHeader/>
        </w:trPr>
        header 1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Parameter (unit)</w:t>
            </w:r>
          </w:p>
        </w:tc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Probability level †</w:t>
            </w:r>
          </w:p>
        </w:tc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Cutpoint</w:t>
            </w:r>
          </w:p>
        </w:tc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Specificity</w:t>
            </w:r>
          </w:p>
        </w:tc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Sensitivity</w:t>
            </w:r>
          </w:p>
        </w:tc>
      </w:tr>
      <w:tr>
        <w:trPr>
          <w:trHeight w:val="617" w:hRule="auto"/>
        </w:trPr>
        body 1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AUC0-inf (h*ng/mL)</w:t>
            </w:r>
          </w:p>
        </w:tc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0.20</w:t>
            </w:r>
          </w:p>
        </w:tc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7" w:hRule="auto"/>
        </w:trPr>
        body 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AUC0-inf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7" w:hRule="auto"/>
        </w:trPr>
        body 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AUC0-inf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411" w:hRule="auto"/>
        </w:trPr>
        body 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7" w:hRule="auto"/>
        </w:trPr>
        body 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AUClast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152.9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</w:tr>
      <w:tr>
        <w:trPr>
          <w:trHeight w:val="617" w:hRule="auto"/>
        </w:trPr>
        body 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AUClast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161.5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</w:tr>
      <w:tr>
        <w:trPr>
          <w:trHeight w:val="617" w:hRule="auto"/>
        </w:trPr>
        body 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AUClast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170.1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</w:tr>
      <w:tr>
        <w:trPr>
          <w:trHeight w:val="411" w:hRule="auto"/>
        </w:trPr>
        body 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7" w:hRule="auto"/>
        </w:trPr>
        body 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Cmax (ng/mL)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47.1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</w:tr>
      <w:tr>
        <w:trPr>
          <w:trHeight w:val="617" w:hRule="auto"/>
        </w:trPr>
        body10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Cmax (ng/mL)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49.8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</w:tr>
      <w:tr>
        <w:trPr>
          <w:trHeight w:val="617" w:hRule="auto"/>
        </w:trPr>
        body11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Cmax (ng/mL)</w:t>
            </w:r>
          </w:p>
        </w:tc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0.80</w:t>
            </w:r>
          </w:p>
        </w:tc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52.4</w:t>
            </w:r>
          </w:p>
        </w:tc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100.0%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Normal"/>
      </w:pPr>
      <w:r>
        <w:t xml:space="preserve">Metrics were obtained from logistic models, where treatment is outcome variable, and PK Parameter as the predictor variable.</w:t>
      </w:r>
    </w:p>
    <w:p>
      <w:pPr>
        <w:pStyle w:val="Normal"/>
      </w:pPr>
      <w:r>
        <w:t xml:space="preserve">† The probability level indicates the likelihood that an observation belongs to the event group based on the model’s classification.</w:t>
      </w:r>
    </w:p>
    <w:p>
      <w:pPr>
        <w:pStyle w:val="Normal"/>
      </w:pPr>
      <w:r>
        <w:t xml:space="preserve">Source:
Program Name:   Dataset Used: ADSL.csv + (ADPP/ADPK/PKPARAM or derived from ADPC.csv)  Runtime: 24Sep2025 16:54  Programmer: mawen</w:t>
      </w:r>
    </w:p>
    <w:sectPr w:rsidR="001379FE" w:rsidSect="00747CCE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eate a new document." ma:contentTypeScope="" ma:versionID="c9e8985949224d0c6eef7261cfdf554a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1f390c4c0f88a0c34739921d7a0d88cf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57087B-CAA7-4DEA-8D91-14AA064D2C4D}"/>
</file>

<file path=customXml/itemProps2.xml><?xml version="1.0" encoding="utf-8"?>
<ds:datastoreItem xmlns:ds="http://schemas.openxmlformats.org/officeDocument/2006/customXml" ds:itemID="{B2AA93E1-741D-45C9-AD7E-32051467447E}"/>
</file>

<file path=customXml/itemProps3.xml><?xml version="1.0" encoding="utf-8"?>
<ds:datastoreItem xmlns:ds="http://schemas.openxmlformats.org/officeDocument/2006/customXml" ds:itemID="{80A9CA1B-9BBA-48C6-9AAF-46466C1B1B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2025-09-24T16:54:42Z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