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df" ContentType="application/pdf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Titre1"/>
      </w:pPr>
      <w:r>
        <w:t xml:space="preserve">Table 4  Summary of Serum Pharmacokinetic Concentrations
PK Analysis Set</w:t>
      </w:r>
    </w:p>
    <w:p>
      <w:pPr>
        <w:pStyle w:val="Normal"/>
      </w:pPr>
      <w:r>
        <w:t xml:space="preserve">Study Part: Part A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0"/>
        <w:tblLook w:firstRow="1" w:lastRow="0" w:firstColumn="0" w:lastColumn="0" w:noHBand="0" w:noVBand="1"/>
      </w:tblPr>
      <w:tr>
        <w:trPr>
          <w:trHeight w:val="473" w:hRule="auto"/>
          <w:tblHeader/>
        </w:trPr>
        header 1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Parameter (unit)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Timepoint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Statistic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Drug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Placebo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Overall</w:t>
            </w:r>
          </w:p>
        </w:tc>
      </w:tr>
      <w:tr>
        <w:trPr>
          <w:trHeight w:val="428" w:hRule="auto"/>
          <w:tblHeader/>
        </w:trPr>
        header 2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N=17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N=17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N=34</w:t>
            </w:r>
          </w:p>
        </w:tc>
      </w:tr>
      <w:tr>
        <w:trPr>
          <w:trHeight w:val="360" w:hRule="auto"/>
        </w:trPr>
        body 1
        <w:tc>
          <w:tcPr>
            <w:vMerge w:val="restart"/>
            <w:tcBorders>
              <w:bottom w:val="single" w:sz="12" w:space="0" w:color="666666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Concentration (ng/mL)</w:t>
            </w:r>
          </w:p>
        </w:tc>
        <w:tc>
          <w:tcPr>
            <w:vMerge w:val="restart"/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Day 1, Pre-Dose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15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31</w:t>
            </w:r>
          </w:p>
        </w:tc>
      </w:tr>
      <w:tr>
        <w:trPr>
          <w:trHeight w:val="360" w:hRule="auto"/>
        </w:trPr>
        body 2
        <w:tc>
          <w:tcPr>
            <w:vMerge/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 of BLQ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</w:tr>
      <w:tr>
        <w:trPr>
          <w:trHeight w:val="360" w:hRule="auto"/>
        </w:trPr>
        body 3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0.08 (0.17)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0.08 (0.05)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0.08 (0.12)</w:t>
            </w:r>
          </w:p>
        </w:tc>
      </w:tr>
      <w:tr>
        <w:trPr>
          <w:trHeight w:val="360" w:hRule="auto"/>
        </w:trPr>
        body 4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223.6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59.4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153.1</w:t>
            </w:r>
          </w:p>
        </w:tc>
      </w:tr>
      <w:tr>
        <w:trPr>
          <w:trHeight w:val="360" w:hRule="auto"/>
        </w:trPr>
        body 5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0.06</w:t>
            </w:r>
          </w:p>
        </w:tc>
      </w:tr>
      <w:tr>
        <w:trPr>
          <w:trHeight w:val="360" w:hRule="auto"/>
        </w:trPr>
        body 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0.00, 0.11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0.05, 0.10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0.00, 0.11</w:t>
            </w:r>
          </w:p>
        </w:tc>
      </w:tr>
      <w:tr>
        <w:trPr>
          <w:trHeight w:val="360" w:hRule="auto"/>
        </w:trPr>
        body 7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0.00, 0.64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0.03, 0.23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0.00, 0.64</w:t>
            </w:r>
          </w:p>
        </w:tc>
      </w:tr>
      <w:tr>
        <w:trPr>
          <w:trHeight w:val="360" w:hRule="auto"/>
        </w:trPr>
        body 8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</w:tr>
      <w:tr>
        <w:trPr>
          <w:trHeight w:val="360" w:hRule="auto"/>
        </w:trPr>
        body 9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</w:tr>
      <w:tr>
        <w:trPr>
          <w:trHeight w:val="360" w:hRule="auto"/>
        </w:trPr>
        body10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 w:val="restart"/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Day 1, 8 Hours Post-Dose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33</w:t>
            </w:r>
          </w:p>
        </w:tc>
      </w:tr>
      <w:tr>
        <w:trPr>
          <w:trHeight w:val="360" w:hRule="auto"/>
        </w:trPr>
        body11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 of BLQ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</w:tr>
      <w:tr>
        <w:trPr>
          <w:trHeight w:val="360" w:hRule="auto"/>
        </w:trPr>
        body12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48.36 (6.58)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0.10 (0.05)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23.50 (24.90)</w:t>
            </w:r>
          </w:p>
        </w:tc>
      </w:tr>
      <w:tr>
        <w:trPr>
          <w:trHeight w:val="360" w:hRule="auto"/>
        </w:trPr>
        body13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50.5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106.0</w:t>
            </w:r>
          </w:p>
        </w:tc>
      </w:tr>
      <w:tr>
        <w:trPr>
          <w:trHeight w:val="360" w:hRule="auto"/>
        </w:trPr>
        body14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48.07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0.22</w:t>
            </w:r>
          </w:p>
        </w:tc>
      </w:tr>
      <w:tr>
        <w:trPr>
          <w:trHeight w:val="360" w:hRule="auto"/>
        </w:trPr>
        body15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42.04, 54.59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0.06, 0.12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0.09, 47.07</w:t>
            </w:r>
          </w:p>
        </w:tc>
      </w:tr>
      <w:tr>
        <w:trPr>
          <w:trHeight w:val="360" w:hRule="auto"/>
        </w:trPr>
        body16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39.85, 58.47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0.03, 0.22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0.03, 58.47</w:t>
            </w:r>
          </w:p>
        </w:tc>
      </w:tr>
      <w:tr>
        <w:trPr>
          <w:trHeight w:val="360" w:hRule="auto"/>
        </w:trPr>
        body17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47.94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47.94</w:t>
            </w:r>
          </w:p>
        </w:tc>
      </w:tr>
      <w:tr>
        <w:trPr>
          <w:trHeight w:val="360" w:hRule="auto"/>
        </w:trPr>
        body18
        <w:tc>
          <w:tcPr>
            <w:vMerge/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vMerge/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13.6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13.6</w:t>
            </w:r>
          </w:p>
        </w:tc>
      </w:tr>
      <w:tr>
        <w:trPr>
          <w:trHeight w:val="360" w:hRule="auto"/>
        </w:trPr>
        footer 1
        <w:tc>
          <w:tcPr>
            <w:gridSpan w:val="6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 = Number of subjects in PK Analysis Set; n = Number of non-missing values (including BLQ); n of BLQ = Number of BLQ values.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BLQ = Below the Limit of Quantitation; SD = Standard Deviation; CV = Coefficient of Variation; NE = Not Evaluated.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For calculation of descriptive statistics only non-missing non-BLQ values were included.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Source: Program Name: table04_pk_conc.R  Dataset Used: ADSL, ADPC/ADLB, ADPP/ADPPK  Runtime: 24Sep2025 11:12  Programmer: QS</w:t>
            </w:r>
          </w:p>
        </w:tc>
      </w:tr>
    </w:tbl>
    <w:p>
      <w:pPr/>
      <w:r>
        <w:br w:type="page"/>
      </w:r>
    </w:p>
    <w:p>
      <w:pPr>
        <w:pStyle w:val="Titre1"/>
      </w:pPr>
      <w:r>
        <w:t xml:space="preserve">Table 4  Summary of Pharmacokinetic Parameters
PK Analysis Set</w:t>
      </w:r>
    </w:p>
    <w:p>
      <w:pPr>
        <w:pStyle w:val="Normal"/>
      </w:pPr>
      <w:r>
        <w:t xml:space="preserve">Study Part: Part A</w:t>
      </w:r>
    </w:p>
    <w:tbl xmlns:a="http://schemas.openxmlformats.org/drawingml/2006/main" xmlns:pic="http://schemas.openxmlformats.org/drawingml/2006/picture">
      <w:tblPr>
        <w:tblLayout w:type="autofit"/>
        <w:jc w:val="center"/>
        <w:tblW w:type="pct" w:w="0"/>
        <w:tblLook w:firstRow="1" w:lastRow="0" w:firstColumn="0" w:lastColumn="0" w:noHBand="0" w:noVBand="1"/>
      </w:tblPr>
      <w:tr>
        <w:trPr>
          <w:trHeight w:val="473" w:hRule="auto"/>
          <w:tblHeader/>
        </w:trPr>
        header 1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Parameter (unit)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Statistics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Drug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Placebo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Overall</w:t>
            </w:r>
          </w:p>
        </w:tc>
      </w:tr>
      <w:tr>
        <w:trPr>
          <w:trHeight w:val="428" w:hRule="auto"/>
          <w:tblHeader/>
        </w:trPr>
        header 2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/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N=17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N=17</w:t>
            </w:r>
          </w:p>
        </w:tc>
        <w:tc>
          <w:tcPr>
            <w:tcBorders>
              <w:bottom w:val="none" w:sz="0" w:space="0" w:color="FFFFFF"/>
              <w:top w:val="none" w:sz="0" w:space="0" w:color="FFFFFF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18"/>
                <w:szCs w:val="18"/>
                <w:color w:val="000000"/>
              </w:rPr>
              <w:t xml:space="preserve">N=34</w:t>
            </w:r>
          </w:p>
        </w:tc>
      </w:tr>
      <w:tr>
        <w:trPr>
          <w:trHeight w:val="360" w:hRule="auto"/>
        </w:trPr>
        body 1
        <w:tc>
          <w:tcPr>
            <w:vMerge w:val="restart"/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Cmax (ng/mL)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FFFFFF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34</w:t>
            </w:r>
          </w:p>
        </w:tc>
      </w:tr>
      <w:tr>
        <w:trPr>
          <w:trHeight w:val="360" w:hRule="auto"/>
        </w:trPr>
        body 2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132.31 (21.99)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 (0.00)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66.16 (68.88)</w:t>
            </w:r>
          </w:p>
        </w:tc>
      </w:tr>
      <w:tr>
        <w:trPr>
          <w:trHeight w:val="360" w:hRule="auto"/>
        </w:trPr>
        body 3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104.1</w:t>
            </w:r>
          </w:p>
        </w:tc>
      </w:tr>
      <w:tr>
        <w:trPr>
          <w:trHeight w:val="360" w:hRule="auto"/>
        </w:trPr>
        body 4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125.03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46.75</w:t>
            </w:r>
          </w:p>
        </w:tc>
      </w:tr>
      <w:tr>
        <w:trPr>
          <w:trHeight w:val="360" w:hRule="auto"/>
        </w:trPr>
        body 5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116.36, 148.00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0.00, 125.03</w:t>
            </w:r>
          </w:p>
        </w:tc>
      </w:tr>
      <w:tr>
        <w:trPr>
          <w:trHeight w:val="360" w:hRule="auto"/>
        </w:trPr>
        body 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93.50, 167.57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0.00, 167.57</w:t>
            </w:r>
          </w:p>
        </w:tc>
      </w:tr>
      <w:tr>
        <w:trPr>
          <w:trHeight w:val="360" w:hRule="auto"/>
        </w:trPr>
        body 7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130.57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130.57</w:t>
            </w:r>
          </w:p>
        </w:tc>
      </w:tr>
      <w:tr>
        <w:trPr>
          <w:trHeight w:val="360" w:hRule="auto"/>
        </w:trPr>
        body 8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17.0</w:t>
            </w:r>
          </w:p>
        </w:tc>
      </w:tr>
      <w:tr>
        <w:trPr>
          <w:trHeight w:val="360" w:hRule="auto"/>
        </w:trPr>
        body 9
        <w:tc>
          <w:tcPr>
            <w:vMerge w:val="restart"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Tmax (h)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34</w:t>
            </w:r>
          </w:p>
        </w:tc>
      </w:tr>
      <w:tr>
        <w:trPr>
          <w:trHeight w:val="360" w:hRule="auto"/>
        </w:trPr>
        body10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2.12 (0.49)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 (0.00)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1.06 (1.13)</w:t>
            </w:r>
          </w:p>
        </w:tc>
      </w:tr>
      <w:tr>
        <w:trPr>
          <w:trHeight w:val="360" w:hRule="auto"/>
        </w:trPr>
        body11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22.9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106.4</w:t>
            </w:r>
          </w:p>
        </w:tc>
      </w:tr>
      <w:tr>
        <w:trPr>
          <w:trHeight w:val="360" w:hRule="auto"/>
        </w:trPr>
        body12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1.00</w:t>
            </w:r>
          </w:p>
        </w:tc>
      </w:tr>
      <w:tr>
        <w:trPr>
          <w:trHeight w:val="360" w:hRule="auto"/>
        </w:trPr>
        body13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2.00, 2.00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0.00, 2.00</w:t>
            </w:r>
          </w:p>
        </w:tc>
      </w:tr>
      <w:tr>
        <w:trPr>
          <w:trHeight w:val="360" w:hRule="auto"/>
        </w:trPr>
        body14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2.00, 4.00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0.00, 4.00</w:t>
            </w:r>
          </w:p>
        </w:tc>
      </w:tr>
      <w:tr>
        <w:trPr>
          <w:trHeight w:val="360" w:hRule="auto"/>
        </w:trPr>
        body15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2.08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2.08</w:t>
            </w:r>
          </w:p>
        </w:tc>
      </w:tr>
      <w:tr>
        <w:trPr>
          <w:trHeight w:val="360" w:hRule="auto"/>
        </w:trPr>
        body16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16.9</w:t>
            </w:r>
          </w:p>
        </w:tc>
      </w:tr>
      <w:tr>
        <w:trPr>
          <w:trHeight w:val="360" w:hRule="auto"/>
        </w:trPr>
        body17
        <w:tc>
          <w:tcPr>
            <w:vMerge w:val="restart"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AUC_last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34</w:t>
            </w:r>
          </w:p>
        </w:tc>
      </w:tr>
      <w:tr>
        <w:trPr>
          <w:trHeight w:val="360" w:hRule="auto"/>
        </w:trPr>
        body18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941.61 (159.54)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 (0.00)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470.80 (490.63)</w:t>
            </w:r>
          </w:p>
        </w:tc>
      </w:tr>
      <w:tr>
        <w:trPr>
          <w:trHeight w:val="360" w:hRule="auto"/>
        </w:trPr>
        body19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104.2</w:t>
            </w:r>
          </w:p>
        </w:tc>
      </w:tr>
      <w:tr>
        <w:trPr>
          <w:trHeight w:val="360" w:hRule="auto"/>
        </w:trPr>
        body20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885.49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332.45</w:t>
            </w:r>
          </w:p>
        </w:tc>
      </w:tr>
      <w:tr>
        <w:trPr>
          <w:trHeight w:val="360" w:hRule="auto"/>
        </w:trPr>
        body21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837.88, 1,047.80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0.00, 885.49</w:t>
            </w:r>
          </w:p>
        </w:tc>
      </w:tr>
      <w:tr>
        <w:trPr>
          <w:trHeight w:val="360" w:hRule="auto"/>
        </w:trPr>
        body22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664.90, 1,227.90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0.00, 1,227.90</w:t>
            </w:r>
          </w:p>
        </w:tc>
      </w:tr>
      <w:tr>
        <w:trPr>
          <w:trHeight w:val="360" w:hRule="auto"/>
        </w:trPr>
        body23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929.14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929.14</w:t>
            </w:r>
          </w:p>
        </w:tc>
      </w:tr>
      <w:tr>
        <w:trPr>
          <w:trHeight w:val="360" w:hRule="auto"/>
        </w:trPr>
        body24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16.9</w:t>
            </w:r>
          </w:p>
        </w:tc>
      </w:tr>
      <w:tr>
        <w:trPr>
          <w:trHeight w:val="360" w:hRule="auto"/>
        </w:trPr>
        body25
        <w:tc>
          <w:tcPr>
            <w:vMerge w:val="restart"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AUC_inf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</w:tr>
      <w:tr>
        <w:trPr>
          <w:trHeight w:val="360" w:hRule="auto"/>
        </w:trPr>
        body26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983.37 (167.17)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983.37 (167.17)</w:t>
            </w:r>
          </w:p>
        </w:tc>
      </w:tr>
      <w:tr>
        <w:trPr>
          <w:trHeight w:val="360" w:hRule="auto"/>
        </w:trPr>
        body27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17.0</w:t>
            </w:r>
          </w:p>
        </w:tc>
      </w:tr>
      <w:tr>
        <w:trPr>
          <w:trHeight w:val="360" w:hRule="auto"/>
        </w:trPr>
        body28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923.77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923.77</w:t>
            </w:r>
          </w:p>
        </w:tc>
      </w:tr>
      <w:tr>
        <w:trPr>
          <w:trHeight w:val="360" w:hRule="auto"/>
        </w:trPr>
        body29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873.60, 1,126.94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873.60, 1,126.94</w:t>
            </w:r>
          </w:p>
        </w:tc>
      </w:tr>
      <w:tr>
        <w:trPr>
          <w:trHeight w:val="360" w:hRule="auto"/>
        </w:trPr>
        body30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696.80, 1,272.26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696.80, 1,272.26</w:t>
            </w:r>
          </w:p>
        </w:tc>
      </w:tr>
      <w:tr>
        <w:trPr>
          <w:trHeight w:val="360" w:hRule="auto"/>
        </w:trPr>
        body31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970.15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970.15</w:t>
            </w:r>
          </w:p>
        </w:tc>
      </w:tr>
      <w:tr>
        <w:trPr>
          <w:trHeight w:val="360" w:hRule="auto"/>
        </w:trPr>
        body32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17.1</w:t>
            </w:r>
          </w:p>
        </w:tc>
      </w:tr>
      <w:tr>
        <w:trPr>
          <w:trHeight w:val="360" w:hRule="auto"/>
        </w:trPr>
        body33
        <w:tc>
          <w:tcPr>
            <w:vMerge w:val="restart"/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AUC 0–4.5h (h*ng/mL)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17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34</w:t>
            </w:r>
          </w:p>
        </w:tc>
      </w:tr>
      <w:tr>
        <w:trPr>
          <w:trHeight w:val="360" w:hRule="auto"/>
        </w:trPr>
        body34
        <w:tc>
          <w:tcPr>
            <w:vMerge/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Mean (SD)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423.01 (89.92)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 (0.00)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211.51 (223.63)</w:t>
            </w:r>
          </w:p>
        </w:tc>
      </w:tr>
      <w:tr>
        <w:trPr>
          <w:trHeight w:val="360" w:hRule="auto"/>
        </w:trPr>
        body35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CV%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21.3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105.7</w:t>
            </w:r>
          </w:p>
        </w:tc>
      </w:tr>
      <w:tr>
        <w:trPr>
          <w:trHeight w:val="360" w:hRule="auto"/>
        </w:trPr>
        body36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Median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419.24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115.85</w:t>
            </w:r>
          </w:p>
        </w:tc>
      </w:tr>
      <w:tr>
        <w:trPr>
          <w:trHeight w:val="360" w:hRule="auto"/>
        </w:trPr>
        body37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Q1, Q3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374.01, 485.81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0.00, 419.24</w:t>
            </w:r>
          </w:p>
        </w:tc>
      </w:tr>
      <w:tr>
        <w:trPr>
          <w:trHeight w:val="360" w:hRule="auto"/>
        </w:trPr>
        body38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Min, Max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231.71, 543.49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0.00, 0.00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0.00, 543.49</w:t>
            </w:r>
          </w:p>
        </w:tc>
      </w:tr>
      <w:tr>
        <w:trPr>
          <w:trHeight w:val="360" w:hRule="auto"/>
        </w:trPr>
        body39
        <w:tc>
          <w:tcPr>
            <w:vMerge/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Mean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412.76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412.76</w:t>
            </w:r>
          </w:p>
        </w:tc>
      </w:tr>
      <w:tr>
        <w:trPr>
          <w:trHeight w:val="360" w:hRule="auto"/>
        </w:trPr>
        body40
        <w:tc>
          <w:tcPr>
            <w:vMerge/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Geometric CV%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24.1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NE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18"/>
                <w:szCs w:val="18"/>
                <w:color w:val="000000"/>
              </w:rPr>
              <w:t xml:space="preserve">24.1</w:t>
            </w:r>
          </w:p>
        </w:tc>
      </w:tr>
      <w:tr>
        <w:trPr>
          <w:trHeight w:val="360" w:hRule="auto"/>
        </w:trPr>
        footer 1
        <w:tc>
          <w:tcPr>
            <w:gridSpan w:val="5"/>
            <w:tcBorders>
              <w:bottom w:val="none" w:sz="0" w:space="0" w:color="FFFFFF"/>
              <w:top w:val="single" w:sz="12" w:space="0" w:color="666666"/>
              <w:left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N = Number of subjects in PK Analysis Set.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SD = Standard Deviation; CV = Coefficient of Variation.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Source: Program Name: table04_pk_conc.R  Dataset Used: ADSL, ADPC/ADLB, ADPP/ADPPK  Runtime: 24Sep2025 11:12  Programmer: QS</w:t>
            </w:r>
          </w:p>
        </w:tc>
      </w:tr>
    </w:tbl>
    <w:sectPr w:rsidR="001379FE" w:rsidSect="00747CCE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8AA2B-341E-4200-BE92-7E0A5025831C}"/>
</file>

<file path=customXml/itemProps2.xml><?xml version="1.0" encoding="utf-8"?>
<ds:datastoreItem xmlns:ds="http://schemas.openxmlformats.org/officeDocument/2006/customXml" ds:itemID="{1C761478-7573-4A17-A12F-A414B3263791}"/>
</file>

<file path=customXml/itemProps3.xml><?xml version="1.0" encoding="utf-8"?>
<ds:datastoreItem xmlns:ds="http://schemas.openxmlformats.org/officeDocument/2006/customXml" ds:itemID="{87AE4258-D919-4ADE-B801-0CD752E896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2025-09-24T11:12:55Z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