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0804D">
      <w:r>
        <w:t>Company</w:t>
      </w:r>
      <w:r>
        <w:rPr>
          <w:rFonts w:hint="eastAsia"/>
          <w:lang w:val="en-US" w:eastAsia="zh-CN"/>
        </w:rPr>
        <w:t xml:space="preserve"> </w:t>
      </w:r>
      <w:r>
        <w:t>Study</w:t>
      </w:r>
    </w:p>
    <w:p w14:paraId="72611848">
      <w:bookmarkStart w:id="0" w:name="_GoBack"/>
      <w:bookmarkEnd w:id="0"/>
    </w:p>
    <w:p w14:paraId="5082B603">
      <w:pPr>
        <w:pStyle w:val="13"/>
      </w:pPr>
      <w:r>
        <w:t>Table 1</w:t>
      </w:r>
    </w:p>
    <w:p w14:paraId="1C70CD06">
      <w:pPr>
        <w:pStyle w:val="13"/>
      </w:pPr>
      <w:r>
        <w:t>Summary of Patient Disposition</w:t>
      </w:r>
    </w:p>
    <w:p w14:paraId="11E75236">
      <w:pPr>
        <w:pStyle w:val="13"/>
      </w:pPr>
      <w:r>
        <w:t>Enrolled Analysis Set</w:t>
      </w:r>
    </w:p>
    <w:p w14:paraId="2178F9E2">
      <w:pPr>
        <w:pStyle w:val="13"/>
      </w:pPr>
      <w:r>
        <w:t>Study Part: Part XXX</w:t>
      </w:r>
    </w:p>
    <w:p w14:paraId="3ACB5BD3"/>
    <w:tbl>
      <w:tblPr>
        <w:tblStyle w:val="8"/>
        <w:tblW w:w="0" w:type="auto"/>
        <w:jc w:val="center"/>
        <w:tblLayout w:type="fixed"/>
        <w:tblCellMar>
          <w:top w:w="0" w:type="dxa"/>
          <w:left w:w="108" w:type="dxa"/>
          <w:bottom w:w="0" w:type="dxa"/>
          <w:right w:w="108" w:type="dxa"/>
        </w:tblCellMar>
      </w:tblPr>
      <w:tblGrid>
        <w:gridCol w:w="4899"/>
        <w:gridCol w:w="1609"/>
        <w:gridCol w:w="1609"/>
        <w:gridCol w:w="1609"/>
      </w:tblGrid>
      <w:tr w14:paraId="0C6C81BE">
        <w:trPr>
          <w:trHeight w:val="0" w:hRule="atLeast"/>
          <w:tblHeader/>
          <w:jc w:val="center"/>
        </w:trPr>
        <w:tc>
          <w:tcPr>
            <w:tcBorders>
              <w:top w:val="single" w:color="666666" w:sz="12" w:space="0"/>
              <w:left w:val="nil"/>
              <w:bottom w:val="single" w:color="666666" w:sz="12" w:space="0"/>
              <w:right w:val="nil"/>
            </w:tcBorders>
            <w:shd w:val="clear" w:color="auto" w:fill="FFFFFF"/>
            <w:tcMar>
              <w:top w:w="0" w:type="dxa"/>
              <w:left w:w="0" w:type="dxa"/>
              <w:bottom w:w="0" w:type="dxa"/>
              <w:right w:w="0" w:type="dxa"/>
            </w:tcMar>
            <w:vAlign w:val="center"/>
          </w:tcPr>
          <w:p w14:paraId="641255F2">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w:t>
            </w:r>
          </w:p>
        </w:tc>
        <w:tc>
          <w:tcPr>
            <w:tcBorders>
              <w:top w:val="single" w:color="666666" w:sz="12" w:space="0"/>
              <w:left w:val="nil"/>
              <w:bottom w:val="single" w:color="666666" w:sz="12" w:space="0"/>
              <w:right w:val="nil"/>
            </w:tcBorders>
            <w:shd w:val="clear" w:color="auto" w:fill="FFFFFF"/>
            <w:tcMar>
              <w:top w:w="0" w:type="dxa"/>
              <w:left w:w="0" w:type="dxa"/>
              <w:bottom w:w="0" w:type="dxa"/>
              <w:right w:w="0" w:type="dxa"/>
            </w:tcMar>
            <w:vAlign w:val="center"/>
          </w:tcPr>
          <w:p w14:paraId="210D308F">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Treatment</w:t>
            </w:r>
            <w:r>
              <w:rPr>
                <w:rFonts w:ascii="Arial" w:hAnsi="Arial" w:eastAsia="Arial" w:cs="Arial"/>
                <w:b w:val="0"/>
                <w:i w:val="0"/>
                <w:color w:val="000000"/>
                <w:sz w:val="22"/>
                <w:szCs w:val="22"/>
                <w:u w:val="none"/>
              </w:rPr>
              <w:br w:type="textWrapping"/>
            </w:r>
            <w:r>
              <w:rPr>
                <w:rFonts w:ascii="Arial" w:hAnsi="Arial" w:eastAsia="Arial" w:cs="Arial"/>
                <w:b w:val="0"/>
                <w:i w:val="0"/>
                <w:color w:val="000000"/>
                <w:sz w:val="22"/>
                <w:szCs w:val="22"/>
                <w:u w:val="none"/>
              </w:rPr>
              <w:t>N=20</w:t>
            </w:r>
          </w:p>
        </w:tc>
        <w:tc>
          <w:tcPr>
            <w:tcBorders>
              <w:top w:val="single" w:color="666666" w:sz="12" w:space="0"/>
              <w:left w:val="nil"/>
              <w:bottom w:val="single" w:color="666666" w:sz="12" w:space="0"/>
              <w:right w:val="nil"/>
            </w:tcBorders>
            <w:shd w:val="clear" w:color="auto" w:fill="FFFFFF"/>
            <w:tcMar>
              <w:top w:w="0" w:type="dxa"/>
              <w:left w:w="0" w:type="dxa"/>
              <w:bottom w:w="0" w:type="dxa"/>
              <w:right w:w="0" w:type="dxa"/>
            </w:tcMar>
            <w:vAlign w:val="center"/>
          </w:tcPr>
          <w:p w14:paraId="45F56AF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Control</w:t>
            </w:r>
            <w:r>
              <w:rPr>
                <w:rFonts w:ascii="Arial" w:hAnsi="Arial" w:eastAsia="Arial" w:cs="Arial"/>
                <w:b w:val="0"/>
                <w:i w:val="0"/>
                <w:color w:val="000000"/>
                <w:sz w:val="22"/>
                <w:szCs w:val="22"/>
                <w:u w:val="none"/>
              </w:rPr>
              <w:br w:type="textWrapping"/>
            </w:r>
            <w:r>
              <w:rPr>
                <w:rFonts w:ascii="Arial" w:hAnsi="Arial" w:eastAsia="Arial" w:cs="Arial"/>
                <w:b w:val="0"/>
                <w:i w:val="0"/>
                <w:color w:val="000000"/>
                <w:sz w:val="22"/>
                <w:szCs w:val="22"/>
                <w:u w:val="none"/>
              </w:rPr>
              <w:t>N=20</w:t>
            </w:r>
          </w:p>
        </w:tc>
        <w:tc>
          <w:tcPr>
            <w:tcBorders>
              <w:top w:val="single" w:color="666666" w:sz="12" w:space="0"/>
              <w:left w:val="nil"/>
              <w:bottom w:val="single" w:color="666666" w:sz="12" w:space="0"/>
              <w:right w:val="nil"/>
            </w:tcBorders>
            <w:shd w:val="clear" w:color="auto" w:fill="FFFFFF"/>
            <w:tcMar>
              <w:top w:w="0" w:type="dxa"/>
              <w:left w:w="0" w:type="dxa"/>
              <w:bottom w:w="0" w:type="dxa"/>
              <w:right w:w="0" w:type="dxa"/>
            </w:tcMar>
            <w:vAlign w:val="center"/>
          </w:tcPr>
          <w:p w14:paraId="33AC80C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Overall</w:t>
            </w:r>
            <w:r>
              <w:rPr>
                <w:rFonts w:ascii="Arial" w:hAnsi="Arial" w:eastAsia="Arial" w:cs="Arial"/>
                <w:b w:val="0"/>
                <w:i w:val="0"/>
                <w:color w:val="000000"/>
                <w:sz w:val="22"/>
                <w:szCs w:val="22"/>
                <w:u w:val="none"/>
              </w:rPr>
              <w:br w:type="textWrapping"/>
            </w:r>
            <w:r>
              <w:rPr>
                <w:rFonts w:ascii="Arial" w:hAnsi="Arial" w:eastAsia="Arial" w:cs="Arial"/>
                <w:b w:val="0"/>
                <w:i w:val="0"/>
                <w:color w:val="000000"/>
                <w:sz w:val="22"/>
                <w:szCs w:val="22"/>
                <w:u w:val="none"/>
              </w:rPr>
              <w:t>N=40</w:t>
            </w:r>
          </w:p>
        </w:tc>
      </w:tr>
      <w:tr w14:paraId="46AB1E58">
        <w:trPr>
          <w:trHeight w:val="0" w:hRule="atLeast"/>
          <w:jc w:val="center"/>
        </w:trPr>
        <w:tc>
          <w:tcPr>
            <w:tcBorders>
              <w:top w:val="single" w:color="666666" w:sz="12" w:space="0"/>
              <w:left w:val="nil"/>
              <w:bottom w:val="nil"/>
              <w:right w:val="nil"/>
            </w:tcBorders>
            <w:shd w:val="clear" w:color="auto" w:fill="FFFFFF"/>
            <w:tcMar>
              <w:top w:w="0" w:type="dxa"/>
              <w:left w:w="0" w:type="dxa"/>
              <w:bottom w:w="0" w:type="dxa"/>
              <w:right w:w="0" w:type="dxa"/>
            </w:tcMar>
            <w:vAlign w:val="center"/>
          </w:tcPr>
          <w:p w14:paraId="1EB77FEB">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Randomized Subjects/ Assigned to Treatment</w:t>
            </w:r>
          </w:p>
        </w:tc>
        <w:tc>
          <w:tcPr>
            <w:tcBorders>
              <w:top w:val="single" w:color="666666" w:sz="12" w:space="0"/>
              <w:left w:val="nil"/>
              <w:bottom w:val="nil"/>
              <w:right w:val="nil"/>
            </w:tcBorders>
            <w:shd w:val="clear" w:color="auto" w:fill="FFFFFF"/>
            <w:tcMar>
              <w:top w:w="0" w:type="dxa"/>
              <w:left w:w="0" w:type="dxa"/>
              <w:bottom w:w="0" w:type="dxa"/>
              <w:right w:w="0" w:type="dxa"/>
            </w:tcMar>
            <w:vAlign w:val="center"/>
          </w:tcPr>
          <w:p w14:paraId="3E8F3C8B">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single" w:color="666666" w:sz="12" w:space="0"/>
              <w:left w:val="nil"/>
              <w:bottom w:val="nil"/>
              <w:right w:val="nil"/>
            </w:tcBorders>
            <w:shd w:val="clear" w:color="auto" w:fill="FFFFFF"/>
            <w:tcMar>
              <w:top w:w="0" w:type="dxa"/>
              <w:left w:w="0" w:type="dxa"/>
              <w:bottom w:w="0" w:type="dxa"/>
              <w:right w:w="0" w:type="dxa"/>
            </w:tcMar>
            <w:vAlign w:val="center"/>
          </w:tcPr>
          <w:p w14:paraId="719558F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single" w:color="666666" w:sz="12" w:space="0"/>
              <w:left w:val="nil"/>
              <w:bottom w:val="nil"/>
              <w:right w:val="nil"/>
            </w:tcBorders>
            <w:shd w:val="clear" w:color="auto" w:fill="FFFFFF"/>
            <w:tcMar>
              <w:top w:w="0" w:type="dxa"/>
              <w:left w:w="0" w:type="dxa"/>
              <w:bottom w:w="0" w:type="dxa"/>
              <w:right w:w="0" w:type="dxa"/>
            </w:tcMar>
            <w:vAlign w:val="center"/>
          </w:tcPr>
          <w:p w14:paraId="73008392">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40 (100.0%)</w:t>
            </w:r>
          </w:p>
        </w:tc>
      </w:tr>
      <w:tr w14:paraId="5BED625F">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6E692A9D">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Included in Enrolled Analysis Set</w:t>
            </w:r>
          </w:p>
        </w:tc>
        <w:tc>
          <w:tcPr>
            <w:tcBorders>
              <w:top w:val="nil"/>
              <w:left w:val="nil"/>
              <w:bottom w:val="nil"/>
              <w:right w:val="nil"/>
            </w:tcBorders>
            <w:shd w:val="clear" w:color="auto" w:fill="FFFFFF"/>
            <w:tcMar>
              <w:top w:w="0" w:type="dxa"/>
              <w:left w:w="0" w:type="dxa"/>
              <w:bottom w:w="0" w:type="dxa"/>
              <w:right w:w="0" w:type="dxa"/>
            </w:tcMar>
            <w:vAlign w:val="center"/>
          </w:tcPr>
          <w:p w14:paraId="5D3DC70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nil"/>
              <w:left w:val="nil"/>
              <w:bottom w:val="nil"/>
              <w:right w:val="nil"/>
            </w:tcBorders>
            <w:shd w:val="clear" w:color="auto" w:fill="FFFFFF"/>
            <w:tcMar>
              <w:top w:w="0" w:type="dxa"/>
              <w:left w:w="0" w:type="dxa"/>
              <w:bottom w:w="0" w:type="dxa"/>
              <w:right w:w="0" w:type="dxa"/>
            </w:tcMar>
            <w:vAlign w:val="center"/>
          </w:tcPr>
          <w:p w14:paraId="49CE89F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nil"/>
              <w:left w:val="nil"/>
              <w:bottom w:val="nil"/>
              <w:right w:val="nil"/>
            </w:tcBorders>
            <w:shd w:val="clear" w:color="auto" w:fill="FFFFFF"/>
            <w:tcMar>
              <w:top w:w="0" w:type="dxa"/>
              <w:left w:w="0" w:type="dxa"/>
              <w:bottom w:w="0" w:type="dxa"/>
              <w:right w:w="0" w:type="dxa"/>
            </w:tcMar>
            <w:vAlign w:val="center"/>
          </w:tcPr>
          <w:p w14:paraId="0CF1B4C6">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40 (100.0%)</w:t>
            </w:r>
          </w:p>
        </w:tc>
      </w:tr>
      <w:tr w14:paraId="569752D1">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7E04AF70">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Included in Full Analysis Set</w:t>
            </w:r>
          </w:p>
        </w:tc>
        <w:tc>
          <w:tcPr>
            <w:tcBorders>
              <w:top w:val="nil"/>
              <w:left w:val="nil"/>
              <w:bottom w:val="nil"/>
              <w:right w:val="nil"/>
            </w:tcBorders>
            <w:shd w:val="clear" w:color="auto" w:fill="FFFFFF"/>
            <w:tcMar>
              <w:top w:w="0" w:type="dxa"/>
              <w:left w:w="0" w:type="dxa"/>
              <w:bottom w:w="0" w:type="dxa"/>
              <w:right w:w="0" w:type="dxa"/>
            </w:tcMar>
            <w:vAlign w:val="center"/>
          </w:tcPr>
          <w:p w14:paraId="546A4DCC">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18 (90.0%)</w:t>
            </w:r>
          </w:p>
        </w:tc>
        <w:tc>
          <w:tcPr>
            <w:tcBorders>
              <w:top w:val="nil"/>
              <w:left w:val="nil"/>
              <w:bottom w:val="nil"/>
              <w:right w:val="nil"/>
            </w:tcBorders>
            <w:shd w:val="clear" w:color="auto" w:fill="FFFFFF"/>
            <w:tcMar>
              <w:top w:w="0" w:type="dxa"/>
              <w:left w:w="0" w:type="dxa"/>
              <w:bottom w:w="0" w:type="dxa"/>
              <w:right w:w="0" w:type="dxa"/>
            </w:tcMar>
            <w:vAlign w:val="center"/>
          </w:tcPr>
          <w:p w14:paraId="49DE4246">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nil"/>
              <w:left w:val="nil"/>
              <w:bottom w:val="nil"/>
              <w:right w:val="nil"/>
            </w:tcBorders>
            <w:shd w:val="clear" w:color="auto" w:fill="FFFFFF"/>
            <w:tcMar>
              <w:top w:w="0" w:type="dxa"/>
              <w:left w:w="0" w:type="dxa"/>
              <w:bottom w:w="0" w:type="dxa"/>
              <w:right w:w="0" w:type="dxa"/>
            </w:tcMar>
            <w:vAlign w:val="center"/>
          </w:tcPr>
          <w:p w14:paraId="0D1020C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38 (95.0%)</w:t>
            </w:r>
          </w:p>
        </w:tc>
      </w:tr>
      <w:tr w14:paraId="011741AE">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272FD3CD">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Included in PK Analysis Set</w:t>
            </w:r>
          </w:p>
        </w:tc>
        <w:tc>
          <w:tcPr>
            <w:tcBorders>
              <w:top w:val="nil"/>
              <w:left w:val="nil"/>
              <w:bottom w:val="nil"/>
              <w:right w:val="nil"/>
            </w:tcBorders>
            <w:shd w:val="clear" w:color="auto" w:fill="FFFFFF"/>
            <w:tcMar>
              <w:top w:w="0" w:type="dxa"/>
              <w:left w:w="0" w:type="dxa"/>
              <w:bottom w:w="0" w:type="dxa"/>
              <w:right w:w="0" w:type="dxa"/>
            </w:tcMar>
            <w:vAlign w:val="center"/>
          </w:tcPr>
          <w:p w14:paraId="7F6F7F28">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17 (85.0%)</w:t>
            </w:r>
          </w:p>
        </w:tc>
        <w:tc>
          <w:tcPr>
            <w:tcBorders>
              <w:top w:val="nil"/>
              <w:left w:val="nil"/>
              <w:bottom w:val="nil"/>
              <w:right w:val="nil"/>
            </w:tcBorders>
            <w:shd w:val="clear" w:color="auto" w:fill="FFFFFF"/>
            <w:tcMar>
              <w:top w:w="0" w:type="dxa"/>
              <w:left w:w="0" w:type="dxa"/>
              <w:bottom w:w="0" w:type="dxa"/>
              <w:right w:w="0" w:type="dxa"/>
            </w:tcMar>
            <w:vAlign w:val="center"/>
          </w:tcPr>
          <w:p w14:paraId="5F8C1CBD">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17 (85.0%)</w:t>
            </w:r>
          </w:p>
        </w:tc>
        <w:tc>
          <w:tcPr>
            <w:tcBorders>
              <w:top w:val="nil"/>
              <w:left w:val="nil"/>
              <w:bottom w:val="nil"/>
              <w:right w:val="nil"/>
            </w:tcBorders>
            <w:shd w:val="clear" w:color="auto" w:fill="FFFFFF"/>
            <w:tcMar>
              <w:top w:w="0" w:type="dxa"/>
              <w:left w:w="0" w:type="dxa"/>
              <w:bottom w:w="0" w:type="dxa"/>
              <w:right w:w="0" w:type="dxa"/>
            </w:tcMar>
            <w:vAlign w:val="center"/>
          </w:tcPr>
          <w:p w14:paraId="1AF42D99">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34 (85.0%)</w:t>
            </w:r>
          </w:p>
        </w:tc>
      </w:tr>
      <w:tr w14:paraId="4D691B10">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3D38E630">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Subjects Received Any Amount of Study Drug</w:t>
            </w:r>
          </w:p>
        </w:tc>
        <w:tc>
          <w:tcPr>
            <w:tcBorders>
              <w:top w:val="nil"/>
              <w:left w:val="nil"/>
              <w:bottom w:val="nil"/>
              <w:right w:val="nil"/>
            </w:tcBorders>
            <w:shd w:val="clear" w:color="auto" w:fill="FFFFFF"/>
            <w:tcMar>
              <w:top w:w="0" w:type="dxa"/>
              <w:left w:w="0" w:type="dxa"/>
              <w:bottom w:w="0" w:type="dxa"/>
              <w:right w:w="0" w:type="dxa"/>
            </w:tcMar>
            <w:vAlign w:val="center"/>
          </w:tcPr>
          <w:p w14:paraId="5B0AAB5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18 (90.0%)</w:t>
            </w:r>
          </w:p>
        </w:tc>
        <w:tc>
          <w:tcPr>
            <w:tcBorders>
              <w:top w:val="nil"/>
              <w:left w:val="nil"/>
              <w:bottom w:val="nil"/>
              <w:right w:val="nil"/>
            </w:tcBorders>
            <w:shd w:val="clear" w:color="auto" w:fill="FFFFFF"/>
            <w:tcMar>
              <w:top w:w="0" w:type="dxa"/>
              <w:left w:w="0" w:type="dxa"/>
              <w:bottom w:w="0" w:type="dxa"/>
              <w:right w:w="0" w:type="dxa"/>
            </w:tcMar>
            <w:vAlign w:val="center"/>
          </w:tcPr>
          <w:p w14:paraId="62ABA340">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 (100.0%)</w:t>
            </w:r>
          </w:p>
        </w:tc>
        <w:tc>
          <w:tcPr>
            <w:tcBorders>
              <w:top w:val="nil"/>
              <w:left w:val="nil"/>
              <w:bottom w:val="nil"/>
              <w:right w:val="nil"/>
            </w:tcBorders>
            <w:shd w:val="clear" w:color="auto" w:fill="FFFFFF"/>
            <w:tcMar>
              <w:top w:w="0" w:type="dxa"/>
              <w:left w:w="0" w:type="dxa"/>
              <w:bottom w:w="0" w:type="dxa"/>
              <w:right w:w="0" w:type="dxa"/>
            </w:tcMar>
            <w:vAlign w:val="center"/>
          </w:tcPr>
          <w:p w14:paraId="6161FD5D">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38 (95.0%)</w:t>
            </w:r>
          </w:p>
        </w:tc>
      </w:tr>
      <w:tr w14:paraId="0C00B276">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3C9FD84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Completed the Study</w:t>
            </w:r>
          </w:p>
        </w:tc>
        <w:tc>
          <w:tcPr>
            <w:tcBorders>
              <w:top w:val="nil"/>
              <w:left w:val="nil"/>
              <w:bottom w:val="nil"/>
              <w:right w:val="nil"/>
            </w:tcBorders>
            <w:shd w:val="clear" w:color="auto" w:fill="FFFFFF"/>
            <w:tcMar>
              <w:top w:w="0" w:type="dxa"/>
              <w:left w:w="0" w:type="dxa"/>
              <w:bottom w:w="0" w:type="dxa"/>
              <w:right w:w="0" w:type="dxa"/>
            </w:tcMar>
            <w:vAlign w:val="center"/>
          </w:tcPr>
          <w:p w14:paraId="6E0DBD59">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15 (75.0%)</w:t>
            </w:r>
          </w:p>
        </w:tc>
        <w:tc>
          <w:tcPr>
            <w:tcBorders>
              <w:top w:val="nil"/>
              <w:left w:val="nil"/>
              <w:bottom w:val="nil"/>
              <w:right w:val="nil"/>
            </w:tcBorders>
            <w:shd w:val="clear" w:color="auto" w:fill="FFFFFF"/>
            <w:tcMar>
              <w:top w:w="0" w:type="dxa"/>
              <w:left w:w="0" w:type="dxa"/>
              <w:bottom w:w="0" w:type="dxa"/>
              <w:right w:w="0" w:type="dxa"/>
            </w:tcMar>
            <w:vAlign w:val="center"/>
          </w:tcPr>
          <w:p w14:paraId="52F7B4B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18 (90.0%)</w:t>
            </w:r>
          </w:p>
        </w:tc>
        <w:tc>
          <w:tcPr>
            <w:tcBorders>
              <w:top w:val="nil"/>
              <w:left w:val="nil"/>
              <w:bottom w:val="nil"/>
              <w:right w:val="nil"/>
            </w:tcBorders>
            <w:shd w:val="clear" w:color="auto" w:fill="FFFFFF"/>
            <w:tcMar>
              <w:top w:w="0" w:type="dxa"/>
              <w:left w:w="0" w:type="dxa"/>
              <w:bottom w:w="0" w:type="dxa"/>
              <w:right w:w="0" w:type="dxa"/>
            </w:tcMar>
            <w:vAlign w:val="center"/>
          </w:tcPr>
          <w:p w14:paraId="6783CE7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33 (82.5%)</w:t>
            </w:r>
          </w:p>
        </w:tc>
      </w:tr>
      <w:tr w14:paraId="44FEDCF3">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57EB4FB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Discontinued Early from Study</w:t>
            </w:r>
          </w:p>
        </w:tc>
        <w:tc>
          <w:tcPr>
            <w:tcBorders>
              <w:top w:val="nil"/>
              <w:left w:val="nil"/>
              <w:bottom w:val="nil"/>
              <w:right w:val="nil"/>
            </w:tcBorders>
            <w:shd w:val="clear" w:color="auto" w:fill="FFFFFF"/>
            <w:tcMar>
              <w:top w:w="0" w:type="dxa"/>
              <w:left w:w="0" w:type="dxa"/>
              <w:bottom w:w="0" w:type="dxa"/>
              <w:right w:w="0" w:type="dxa"/>
            </w:tcMar>
            <w:vAlign w:val="center"/>
          </w:tcPr>
          <w:p w14:paraId="04FA206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5 (25.0%)</w:t>
            </w:r>
          </w:p>
        </w:tc>
        <w:tc>
          <w:tcPr>
            <w:tcBorders>
              <w:top w:val="nil"/>
              <w:left w:val="nil"/>
              <w:bottom w:val="nil"/>
              <w:right w:val="nil"/>
            </w:tcBorders>
            <w:shd w:val="clear" w:color="auto" w:fill="FFFFFF"/>
            <w:tcMar>
              <w:top w:w="0" w:type="dxa"/>
              <w:left w:w="0" w:type="dxa"/>
              <w:bottom w:w="0" w:type="dxa"/>
              <w:right w:w="0" w:type="dxa"/>
            </w:tcMar>
            <w:vAlign w:val="center"/>
          </w:tcPr>
          <w:p w14:paraId="3B7ED27D">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 (10.0%)</w:t>
            </w:r>
          </w:p>
        </w:tc>
        <w:tc>
          <w:tcPr>
            <w:tcBorders>
              <w:top w:val="nil"/>
              <w:left w:val="nil"/>
              <w:bottom w:val="nil"/>
              <w:right w:val="nil"/>
            </w:tcBorders>
            <w:shd w:val="clear" w:color="auto" w:fill="FFFFFF"/>
            <w:tcMar>
              <w:top w:w="0" w:type="dxa"/>
              <w:left w:w="0" w:type="dxa"/>
              <w:bottom w:w="0" w:type="dxa"/>
              <w:right w:w="0" w:type="dxa"/>
            </w:tcMar>
            <w:vAlign w:val="center"/>
          </w:tcPr>
          <w:p w14:paraId="1AFA973B">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7 (17.5%)</w:t>
            </w:r>
          </w:p>
        </w:tc>
      </w:tr>
      <w:tr w14:paraId="75A71450">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5D8B7639">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Discontinued due to Withdrawal by subject</w:t>
            </w:r>
          </w:p>
        </w:tc>
        <w:tc>
          <w:tcPr>
            <w:tcBorders>
              <w:top w:val="nil"/>
              <w:left w:val="nil"/>
              <w:bottom w:val="nil"/>
              <w:right w:val="nil"/>
            </w:tcBorders>
            <w:shd w:val="clear" w:color="auto" w:fill="FFFFFF"/>
            <w:tcMar>
              <w:top w:w="0" w:type="dxa"/>
              <w:left w:w="0" w:type="dxa"/>
              <w:bottom w:w="0" w:type="dxa"/>
              <w:right w:w="0" w:type="dxa"/>
            </w:tcMar>
            <w:vAlign w:val="center"/>
          </w:tcPr>
          <w:p w14:paraId="092B81B5">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 (10.0%)</w:t>
            </w:r>
          </w:p>
        </w:tc>
        <w:tc>
          <w:tcPr>
            <w:tcBorders>
              <w:top w:val="nil"/>
              <w:left w:val="nil"/>
              <w:bottom w:val="nil"/>
              <w:right w:val="nil"/>
            </w:tcBorders>
            <w:shd w:val="clear" w:color="auto" w:fill="FFFFFF"/>
            <w:tcMar>
              <w:top w:w="0" w:type="dxa"/>
              <w:left w:w="0" w:type="dxa"/>
              <w:bottom w:w="0" w:type="dxa"/>
              <w:right w:w="0" w:type="dxa"/>
            </w:tcMar>
            <w:vAlign w:val="center"/>
          </w:tcPr>
          <w:p w14:paraId="74708B9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(5.0%)</w:t>
            </w:r>
          </w:p>
        </w:tc>
        <w:tc>
          <w:tcPr>
            <w:tcBorders>
              <w:top w:val="nil"/>
              <w:left w:val="nil"/>
              <w:bottom w:val="nil"/>
              <w:right w:val="nil"/>
            </w:tcBorders>
            <w:shd w:val="clear" w:color="auto" w:fill="FFFFFF"/>
            <w:tcMar>
              <w:top w:w="0" w:type="dxa"/>
              <w:left w:w="0" w:type="dxa"/>
              <w:bottom w:w="0" w:type="dxa"/>
              <w:right w:w="0" w:type="dxa"/>
            </w:tcMar>
            <w:vAlign w:val="center"/>
          </w:tcPr>
          <w:p w14:paraId="2D4ABDC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 (7.5%)</w:t>
            </w:r>
          </w:p>
        </w:tc>
      </w:tr>
      <w:tr w14:paraId="65538336">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5F6A6612">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Discontinued due to Adverse event</w:t>
            </w:r>
          </w:p>
        </w:tc>
        <w:tc>
          <w:tcPr>
            <w:tcBorders>
              <w:top w:val="nil"/>
              <w:left w:val="nil"/>
              <w:bottom w:val="nil"/>
              <w:right w:val="nil"/>
            </w:tcBorders>
            <w:shd w:val="clear" w:color="auto" w:fill="FFFFFF"/>
            <w:tcMar>
              <w:top w:w="0" w:type="dxa"/>
              <w:left w:w="0" w:type="dxa"/>
              <w:bottom w:w="0" w:type="dxa"/>
              <w:right w:w="0" w:type="dxa"/>
            </w:tcMar>
            <w:vAlign w:val="center"/>
          </w:tcPr>
          <w:p w14:paraId="742D89B6">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(5.0%)</w:t>
            </w:r>
          </w:p>
        </w:tc>
        <w:tc>
          <w:tcPr>
            <w:tcBorders>
              <w:top w:val="nil"/>
              <w:left w:val="nil"/>
              <w:bottom w:val="nil"/>
              <w:right w:val="nil"/>
            </w:tcBorders>
            <w:shd w:val="clear" w:color="auto" w:fill="FFFFFF"/>
            <w:tcMar>
              <w:top w:w="0" w:type="dxa"/>
              <w:left w:w="0" w:type="dxa"/>
              <w:bottom w:w="0" w:type="dxa"/>
              <w:right w:w="0" w:type="dxa"/>
            </w:tcMar>
            <w:vAlign w:val="center"/>
          </w:tcPr>
          <w:p w14:paraId="7F6FF83F">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0 (0.0%)</w:t>
            </w:r>
          </w:p>
        </w:tc>
        <w:tc>
          <w:tcPr>
            <w:tcBorders>
              <w:top w:val="nil"/>
              <w:left w:val="nil"/>
              <w:bottom w:val="nil"/>
              <w:right w:val="nil"/>
            </w:tcBorders>
            <w:shd w:val="clear" w:color="auto" w:fill="FFFFFF"/>
            <w:tcMar>
              <w:top w:w="0" w:type="dxa"/>
              <w:left w:w="0" w:type="dxa"/>
              <w:bottom w:w="0" w:type="dxa"/>
              <w:right w:w="0" w:type="dxa"/>
            </w:tcMar>
            <w:vAlign w:val="center"/>
          </w:tcPr>
          <w:p w14:paraId="0CA1CDD9">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(2.5%)</w:t>
            </w:r>
          </w:p>
        </w:tc>
      </w:tr>
      <w:tr w14:paraId="020AB84B">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4A1D1DB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Discontinued due to Investigator decision</w:t>
            </w:r>
          </w:p>
        </w:tc>
        <w:tc>
          <w:tcPr>
            <w:tcBorders>
              <w:top w:val="nil"/>
              <w:left w:val="nil"/>
              <w:bottom w:val="nil"/>
              <w:right w:val="nil"/>
            </w:tcBorders>
            <w:shd w:val="clear" w:color="auto" w:fill="FFFFFF"/>
            <w:tcMar>
              <w:top w:w="0" w:type="dxa"/>
              <w:left w:w="0" w:type="dxa"/>
              <w:bottom w:w="0" w:type="dxa"/>
              <w:right w:w="0" w:type="dxa"/>
            </w:tcMar>
            <w:vAlign w:val="center"/>
          </w:tcPr>
          <w:p w14:paraId="34D5E808">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0 (0.0%)</w:t>
            </w:r>
          </w:p>
        </w:tc>
        <w:tc>
          <w:tcPr>
            <w:tcBorders>
              <w:top w:val="nil"/>
              <w:left w:val="nil"/>
              <w:bottom w:val="nil"/>
              <w:right w:val="nil"/>
            </w:tcBorders>
            <w:shd w:val="clear" w:color="auto" w:fill="FFFFFF"/>
            <w:tcMar>
              <w:top w:w="0" w:type="dxa"/>
              <w:left w:w="0" w:type="dxa"/>
              <w:bottom w:w="0" w:type="dxa"/>
              <w:right w:w="0" w:type="dxa"/>
            </w:tcMar>
            <w:vAlign w:val="center"/>
          </w:tcPr>
          <w:p w14:paraId="422F97E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(5.0%)</w:t>
            </w:r>
          </w:p>
        </w:tc>
        <w:tc>
          <w:tcPr>
            <w:tcBorders>
              <w:top w:val="nil"/>
              <w:left w:val="nil"/>
              <w:bottom w:val="nil"/>
              <w:right w:val="nil"/>
            </w:tcBorders>
            <w:shd w:val="clear" w:color="auto" w:fill="FFFFFF"/>
            <w:tcMar>
              <w:top w:w="0" w:type="dxa"/>
              <w:left w:w="0" w:type="dxa"/>
              <w:bottom w:w="0" w:type="dxa"/>
              <w:right w:w="0" w:type="dxa"/>
            </w:tcMar>
            <w:vAlign w:val="center"/>
          </w:tcPr>
          <w:p w14:paraId="70099FA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(2.5%)</w:t>
            </w:r>
          </w:p>
        </w:tc>
      </w:tr>
      <w:tr w14:paraId="313D3060">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2B12F5F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Discontinued due to Lost to follow-up</w:t>
            </w:r>
          </w:p>
        </w:tc>
        <w:tc>
          <w:tcPr>
            <w:tcBorders>
              <w:top w:val="nil"/>
              <w:left w:val="nil"/>
              <w:bottom w:val="nil"/>
              <w:right w:val="nil"/>
            </w:tcBorders>
            <w:shd w:val="clear" w:color="auto" w:fill="FFFFFF"/>
            <w:tcMar>
              <w:top w:w="0" w:type="dxa"/>
              <w:left w:w="0" w:type="dxa"/>
              <w:bottom w:w="0" w:type="dxa"/>
              <w:right w:w="0" w:type="dxa"/>
            </w:tcMar>
            <w:vAlign w:val="center"/>
          </w:tcPr>
          <w:p w14:paraId="2C37728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(5.0%)</w:t>
            </w:r>
          </w:p>
        </w:tc>
        <w:tc>
          <w:tcPr>
            <w:tcBorders>
              <w:top w:val="nil"/>
              <w:left w:val="nil"/>
              <w:bottom w:val="nil"/>
              <w:right w:val="nil"/>
            </w:tcBorders>
            <w:shd w:val="clear" w:color="auto" w:fill="FFFFFF"/>
            <w:tcMar>
              <w:top w:w="0" w:type="dxa"/>
              <w:left w:w="0" w:type="dxa"/>
              <w:bottom w:w="0" w:type="dxa"/>
              <w:right w:w="0" w:type="dxa"/>
            </w:tcMar>
            <w:vAlign w:val="center"/>
          </w:tcPr>
          <w:p w14:paraId="2F231FE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0 (0.0%)</w:t>
            </w:r>
          </w:p>
        </w:tc>
        <w:tc>
          <w:tcPr>
            <w:tcBorders>
              <w:top w:val="nil"/>
              <w:left w:val="nil"/>
              <w:bottom w:val="nil"/>
              <w:right w:val="nil"/>
            </w:tcBorders>
            <w:shd w:val="clear" w:color="auto" w:fill="FFFFFF"/>
            <w:tcMar>
              <w:top w:w="0" w:type="dxa"/>
              <w:left w:w="0" w:type="dxa"/>
              <w:bottom w:w="0" w:type="dxa"/>
              <w:right w:w="0" w:type="dxa"/>
            </w:tcMar>
            <w:vAlign w:val="center"/>
          </w:tcPr>
          <w:p w14:paraId="21D6E69F">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(2.5%)</w:t>
            </w:r>
          </w:p>
        </w:tc>
      </w:tr>
      <w:tr w14:paraId="1C78E9AA">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0D2BD9F0">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Discontinued due to Protocol violation</w:t>
            </w:r>
          </w:p>
        </w:tc>
        <w:tc>
          <w:tcPr>
            <w:tcBorders>
              <w:top w:val="nil"/>
              <w:left w:val="nil"/>
              <w:bottom w:val="nil"/>
              <w:right w:val="nil"/>
            </w:tcBorders>
            <w:shd w:val="clear" w:color="auto" w:fill="FFFFFF"/>
            <w:tcMar>
              <w:top w:w="0" w:type="dxa"/>
              <w:left w:w="0" w:type="dxa"/>
              <w:bottom w:w="0" w:type="dxa"/>
              <w:right w:w="0" w:type="dxa"/>
            </w:tcMar>
            <w:vAlign w:val="center"/>
          </w:tcPr>
          <w:p w14:paraId="1C83E4DB">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(5.0%)</w:t>
            </w:r>
          </w:p>
        </w:tc>
        <w:tc>
          <w:tcPr>
            <w:tcBorders>
              <w:top w:val="nil"/>
              <w:left w:val="nil"/>
              <w:bottom w:val="nil"/>
              <w:right w:val="nil"/>
            </w:tcBorders>
            <w:shd w:val="clear" w:color="auto" w:fill="FFFFFF"/>
            <w:tcMar>
              <w:top w:w="0" w:type="dxa"/>
              <w:left w:w="0" w:type="dxa"/>
              <w:bottom w:w="0" w:type="dxa"/>
              <w:right w:w="0" w:type="dxa"/>
            </w:tcMar>
            <w:vAlign w:val="center"/>
          </w:tcPr>
          <w:p w14:paraId="1A73282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0 (0.0%)</w:t>
            </w:r>
          </w:p>
        </w:tc>
        <w:tc>
          <w:tcPr>
            <w:tcBorders>
              <w:top w:val="nil"/>
              <w:left w:val="nil"/>
              <w:bottom w:val="nil"/>
              <w:right w:val="nil"/>
            </w:tcBorders>
            <w:shd w:val="clear" w:color="auto" w:fill="FFFFFF"/>
            <w:tcMar>
              <w:top w:w="0" w:type="dxa"/>
              <w:left w:w="0" w:type="dxa"/>
              <w:bottom w:w="0" w:type="dxa"/>
              <w:right w:w="0" w:type="dxa"/>
            </w:tcMar>
            <w:vAlign w:val="center"/>
          </w:tcPr>
          <w:p w14:paraId="713DDA5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 (2.5%)</w:t>
            </w:r>
          </w:p>
        </w:tc>
      </w:tr>
      <w:tr w14:paraId="459C334A">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142B17F7">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i w:val="0"/>
                <w:color w:val="000000"/>
                <w:sz w:val="22"/>
                <w:szCs w:val="22"/>
                <w:u w:val="none"/>
              </w:rPr>
            </w:pPr>
            <w:r>
              <w:rPr>
                <w:rFonts w:ascii="Arial" w:hAnsi="Arial" w:eastAsia="Arial" w:cs="Arial"/>
                <w:b/>
                <w:i w:val="0"/>
                <w:color w:val="000000"/>
                <w:sz w:val="22"/>
                <w:szCs w:val="22"/>
                <w:u w:val="none"/>
              </w:rPr>
              <w:t>Duration on Study (days)</w:t>
            </w:r>
          </w:p>
        </w:tc>
        <w:tc>
          <w:tcPr>
            <w:tcBorders>
              <w:top w:val="nil"/>
              <w:left w:val="nil"/>
              <w:bottom w:val="nil"/>
              <w:right w:val="nil"/>
            </w:tcBorders>
            <w:shd w:val="clear" w:color="auto" w:fill="FFFFFF"/>
            <w:tcMar>
              <w:top w:w="0" w:type="dxa"/>
              <w:left w:w="0" w:type="dxa"/>
              <w:bottom w:w="0" w:type="dxa"/>
              <w:right w:w="0" w:type="dxa"/>
            </w:tcMar>
            <w:vAlign w:val="center"/>
          </w:tcPr>
          <w:p w14:paraId="0080061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p>
        </w:tc>
        <w:tc>
          <w:tcPr>
            <w:tcBorders>
              <w:top w:val="nil"/>
              <w:left w:val="nil"/>
              <w:bottom w:val="nil"/>
              <w:right w:val="nil"/>
            </w:tcBorders>
            <w:shd w:val="clear" w:color="auto" w:fill="FFFFFF"/>
            <w:tcMar>
              <w:top w:w="0" w:type="dxa"/>
              <w:left w:w="0" w:type="dxa"/>
              <w:bottom w:w="0" w:type="dxa"/>
              <w:right w:w="0" w:type="dxa"/>
            </w:tcMar>
            <w:vAlign w:val="center"/>
          </w:tcPr>
          <w:p w14:paraId="050E328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p>
        </w:tc>
        <w:tc>
          <w:tcPr>
            <w:tcBorders>
              <w:top w:val="nil"/>
              <w:left w:val="nil"/>
              <w:bottom w:val="nil"/>
              <w:right w:val="nil"/>
            </w:tcBorders>
            <w:shd w:val="clear" w:color="auto" w:fill="FFFFFF"/>
            <w:tcMar>
              <w:top w:w="0" w:type="dxa"/>
              <w:left w:w="0" w:type="dxa"/>
              <w:bottom w:w="0" w:type="dxa"/>
              <w:right w:w="0" w:type="dxa"/>
            </w:tcMar>
            <w:vAlign w:val="center"/>
          </w:tcPr>
          <w:p w14:paraId="507C9217">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p>
        </w:tc>
      </w:tr>
      <w:tr w14:paraId="075614F2">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6A3551E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n</w:t>
            </w:r>
          </w:p>
        </w:tc>
        <w:tc>
          <w:tcPr>
            <w:tcBorders>
              <w:top w:val="nil"/>
              <w:left w:val="nil"/>
              <w:bottom w:val="nil"/>
              <w:right w:val="nil"/>
            </w:tcBorders>
            <w:shd w:val="clear" w:color="auto" w:fill="FFFFFF"/>
            <w:tcMar>
              <w:top w:w="0" w:type="dxa"/>
              <w:left w:w="0" w:type="dxa"/>
              <w:bottom w:w="0" w:type="dxa"/>
              <w:right w:w="0" w:type="dxa"/>
            </w:tcMar>
            <w:vAlign w:val="center"/>
          </w:tcPr>
          <w:p w14:paraId="1B9F2D77">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w:t>
            </w:r>
          </w:p>
        </w:tc>
        <w:tc>
          <w:tcPr>
            <w:tcBorders>
              <w:top w:val="nil"/>
              <w:left w:val="nil"/>
              <w:bottom w:val="nil"/>
              <w:right w:val="nil"/>
            </w:tcBorders>
            <w:shd w:val="clear" w:color="auto" w:fill="FFFFFF"/>
            <w:tcMar>
              <w:top w:w="0" w:type="dxa"/>
              <w:left w:w="0" w:type="dxa"/>
              <w:bottom w:w="0" w:type="dxa"/>
              <w:right w:w="0" w:type="dxa"/>
            </w:tcMar>
            <w:vAlign w:val="center"/>
          </w:tcPr>
          <w:p w14:paraId="5604C6F1">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20</w:t>
            </w:r>
          </w:p>
        </w:tc>
        <w:tc>
          <w:tcPr>
            <w:tcBorders>
              <w:top w:val="nil"/>
              <w:left w:val="nil"/>
              <w:bottom w:val="nil"/>
              <w:right w:val="nil"/>
            </w:tcBorders>
            <w:shd w:val="clear" w:color="auto" w:fill="FFFFFF"/>
            <w:tcMar>
              <w:top w:w="0" w:type="dxa"/>
              <w:left w:w="0" w:type="dxa"/>
              <w:bottom w:w="0" w:type="dxa"/>
              <w:right w:w="0" w:type="dxa"/>
            </w:tcMar>
            <w:vAlign w:val="center"/>
          </w:tcPr>
          <w:p w14:paraId="693192F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40</w:t>
            </w:r>
          </w:p>
        </w:tc>
      </w:tr>
      <w:tr w14:paraId="55B8EDD0">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4B9C2ED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Mean (SD)</w:t>
            </w:r>
          </w:p>
        </w:tc>
        <w:tc>
          <w:tcPr>
            <w:tcBorders>
              <w:top w:val="nil"/>
              <w:left w:val="nil"/>
              <w:bottom w:val="nil"/>
              <w:right w:val="nil"/>
            </w:tcBorders>
            <w:shd w:val="clear" w:color="auto" w:fill="FFFFFF"/>
            <w:tcMar>
              <w:top w:w="0" w:type="dxa"/>
              <w:left w:w="0" w:type="dxa"/>
              <w:bottom w:w="0" w:type="dxa"/>
              <w:right w:w="0" w:type="dxa"/>
            </w:tcMar>
            <w:vAlign w:val="center"/>
          </w:tcPr>
          <w:p w14:paraId="3E6150B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23.9 (13.2)</w:t>
            </w:r>
          </w:p>
        </w:tc>
        <w:tc>
          <w:tcPr>
            <w:tcBorders>
              <w:top w:val="nil"/>
              <w:left w:val="nil"/>
              <w:bottom w:val="nil"/>
              <w:right w:val="nil"/>
            </w:tcBorders>
            <w:shd w:val="clear" w:color="auto" w:fill="FFFFFF"/>
            <w:tcMar>
              <w:top w:w="0" w:type="dxa"/>
              <w:left w:w="0" w:type="dxa"/>
              <w:bottom w:w="0" w:type="dxa"/>
              <w:right w:w="0" w:type="dxa"/>
            </w:tcMar>
            <w:vAlign w:val="center"/>
          </w:tcPr>
          <w:p w14:paraId="2FC91B8A">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21.2 (11.4)</w:t>
            </w:r>
          </w:p>
        </w:tc>
        <w:tc>
          <w:tcPr>
            <w:tcBorders>
              <w:top w:val="nil"/>
              <w:left w:val="nil"/>
              <w:bottom w:val="nil"/>
              <w:right w:val="nil"/>
            </w:tcBorders>
            <w:shd w:val="clear" w:color="auto" w:fill="FFFFFF"/>
            <w:tcMar>
              <w:top w:w="0" w:type="dxa"/>
              <w:left w:w="0" w:type="dxa"/>
              <w:bottom w:w="0" w:type="dxa"/>
              <w:right w:w="0" w:type="dxa"/>
            </w:tcMar>
            <w:vAlign w:val="center"/>
          </w:tcPr>
          <w:p w14:paraId="75557AB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22.6 (12.2)</w:t>
            </w:r>
          </w:p>
        </w:tc>
      </w:tr>
      <w:tr w14:paraId="01A5EC55">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7BC6E094">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Median</w:t>
            </w:r>
          </w:p>
        </w:tc>
        <w:tc>
          <w:tcPr>
            <w:tcBorders>
              <w:top w:val="nil"/>
              <w:left w:val="nil"/>
              <w:bottom w:val="nil"/>
              <w:right w:val="nil"/>
            </w:tcBorders>
            <w:shd w:val="clear" w:color="auto" w:fill="FFFFFF"/>
            <w:tcMar>
              <w:top w:w="0" w:type="dxa"/>
              <w:left w:w="0" w:type="dxa"/>
              <w:bottom w:w="0" w:type="dxa"/>
              <w:right w:w="0" w:type="dxa"/>
            </w:tcMar>
            <w:vAlign w:val="center"/>
          </w:tcPr>
          <w:p w14:paraId="71250446">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24.5</w:t>
            </w:r>
          </w:p>
        </w:tc>
        <w:tc>
          <w:tcPr>
            <w:tcBorders>
              <w:top w:val="nil"/>
              <w:left w:val="nil"/>
              <w:bottom w:val="nil"/>
              <w:right w:val="nil"/>
            </w:tcBorders>
            <w:shd w:val="clear" w:color="auto" w:fill="FFFFFF"/>
            <w:tcMar>
              <w:top w:w="0" w:type="dxa"/>
              <w:left w:w="0" w:type="dxa"/>
              <w:bottom w:w="0" w:type="dxa"/>
              <w:right w:w="0" w:type="dxa"/>
            </w:tcMar>
            <w:vAlign w:val="center"/>
          </w:tcPr>
          <w:p w14:paraId="55C75999">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24.0</w:t>
            </w:r>
          </w:p>
        </w:tc>
        <w:tc>
          <w:tcPr>
            <w:tcBorders>
              <w:top w:val="nil"/>
              <w:left w:val="nil"/>
              <w:bottom w:val="nil"/>
              <w:right w:val="nil"/>
            </w:tcBorders>
            <w:shd w:val="clear" w:color="auto" w:fill="FFFFFF"/>
            <w:tcMar>
              <w:top w:w="0" w:type="dxa"/>
              <w:left w:w="0" w:type="dxa"/>
              <w:bottom w:w="0" w:type="dxa"/>
              <w:right w:w="0" w:type="dxa"/>
            </w:tcMar>
            <w:vAlign w:val="center"/>
          </w:tcPr>
          <w:p w14:paraId="39F0FA93">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24.0</w:t>
            </w:r>
          </w:p>
        </w:tc>
      </w:tr>
      <w:tr w14:paraId="73BECD2B">
        <w:trPr>
          <w:trHeight w:val="0" w:hRule="atLeast"/>
          <w:jc w:val="center"/>
        </w:trPr>
        <w:tc>
          <w:tcPr>
            <w:tcBorders>
              <w:top w:val="nil"/>
              <w:left w:val="nil"/>
              <w:bottom w:val="nil"/>
              <w:right w:val="nil"/>
            </w:tcBorders>
            <w:shd w:val="clear" w:color="auto" w:fill="FFFFFF"/>
            <w:tcMar>
              <w:top w:w="0" w:type="dxa"/>
              <w:left w:w="0" w:type="dxa"/>
              <w:bottom w:w="0" w:type="dxa"/>
              <w:right w:w="0" w:type="dxa"/>
            </w:tcMar>
            <w:vAlign w:val="center"/>
          </w:tcPr>
          <w:p w14:paraId="5D275962">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Q1, Q3</w:t>
            </w:r>
          </w:p>
        </w:tc>
        <w:tc>
          <w:tcPr>
            <w:tcBorders>
              <w:top w:val="nil"/>
              <w:left w:val="nil"/>
              <w:bottom w:val="nil"/>
              <w:right w:val="nil"/>
            </w:tcBorders>
            <w:shd w:val="clear" w:color="auto" w:fill="FFFFFF"/>
            <w:tcMar>
              <w:top w:w="0" w:type="dxa"/>
              <w:left w:w="0" w:type="dxa"/>
              <w:bottom w:w="0" w:type="dxa"/>
              <w:right w:w="0" w:type="dxa"/>
            </w:tcMar>
            <w:vAlign w:val="center"/>
          </w:tcPr>
          <w:p w14:paraId="15A2E1B0">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14.0, 32.5</w:t>
            </w:r>
          </w:p>
        </w:tc>
        <w:tc>
          <w:tcPr>
            <w:tcBorders>
              <w:top w:val="nil"/>
              <w:left w:val="nil"/>
              <w:bottom w:val="nil"/>
              <w:right w:val="nil"/>
            </w:tcBorders>
            <w:shd w:val="clear" w:color="auto" w:fill="FFFFFF"/>
            <w:tcMar>
              <w:top w:w="0" w:type="dxa"/>
              <w:left w:w="0" w:type="dxa"/>
              <w:bottom w:w="0" w:type="dxa"/>
              <w:right w:w="0" w:type="dxa"/>
            </w:tcMar>
            <w:vAlign w:val="center"/>
          </w:tcPr>
          <w:p w14:paraId="7418B812">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11.5, 27.0</w:t>
            </w:r>
          </w:p>
        </w:tc>
        <w:tc>
          <w:tcPr>
            <w:tcBorders>
              <w:top w:val="nil"/>
              <w:left w:val="nil"/>
              <w:bottom w:val="nil"/>
              <w:right w:val="nil"/>
            </w:tcBorders>
            <w:shd w:val="clear" w:color="auto" w:fill="FFFFFF"/>
            <w:tcMar>
              <w:top w:w="0" w:type="dxa"/>
              <w:left w:w="0" w:type="dxa"/>
              <w:bottom w:w="0" w:type="dxa"/>
              <w:right w:w="0" w:type="dxa"/>
            </w:tcMar>
            <w:vAlign w:val="center"/>
          </w:tcPr>
          <w:p w14:paraId="63003D97">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12.5, 31.5</w:t>
            </w:r>
          </w:p>
        </w:tc>
      </w:tr>
      <w:tr w14:paraId="46180A45">
        <w:trPr>
          <w:trHeight w:val="0" w:hRule="atLeast"/>
          <w:jc w:val="center"/>
        </w:trPr>
        <w:tc>
          <w:tcPr>
            <w:tcBorders>
              <w:top w:val="nil"/>
              <w:left w:val="nil"/>
              <w:bottom w:val="single" w:color="666666" w:sz="12" w:space="0"/>
              <w:right w:val="nil"/>
            </w:tcBorders>
            <w:shd w:val="clear" w:color="auto" w:fill="FFFFFF"/>
            <w:tcMar>
              <w:top w:w="0" w:type="dxa"/>
              <w:left w:w="0" w:type="dxa"/>
              <w:bottom w:w="0" w:type="dxa"/>
              <w:right w:w="0" w:type="dxa"/>
            </w:tcMar>
            <w:vAlign w:val="center"/>
          </w:tcPr>
          <w:p w14:paraId="4D759E5C">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left"/>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 xml:space="preserve">   Min, Max</w:t>
            </w:r>
          </w:p>
        </w:tc>
        <w:tc>
          <w:tcPr>
            <w:tcBorders>
              <w:top w:val="nil"/>
              <w:left w:val="nil"/>
              <w:bottom w:val="single" w:color="666666" w:sz="12" w:space="0"/>
              <w:right w:val="nil"/>
            </w:tcBorders>
            <w:shd w:val="clear" w:color="auto" w:fill="FFFFFF"/>
            <w:tcMar>
              <w:top w:w="0" w:type="dxa"/>
              <w:left w:w="0" w:type="dxa"/>
              <w:bottom w:w="0" w:type="dxa"/>
              <w:right w:w="0" w:type="dxa"/>
            </w:tcMar>
            <w:vAlign w:val="center"/>
          </w:tcPr>
          <w:p w14:paraId="0B9E60A8">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4.0, 52.0</w:t>
            </w:r>
          </w:p>
        </w:tc>
        <w:tc>
          <w:tcPr>
            <w:tcBorders>
              <w:top w:val="nil"/>
              <w:left w:val="nil"/>
              <w:bottom w:val="single" w:color="666666" w:sz="12" w:space="0"/>
              <w:right w:val="nil"/>
            </w:tcBorders>
            <w:shd w:val="clear" w:color="auto" w:fill="FFFFFF"/>
            <w:tcMar>
              <w:top w:w="0" w:type="dxa"/>
              <w:left w:w="0" w:type="dxa"/>
              <w:bottom w:w="0" w:type="dxa"/>
              <w:right w:w="0" w:type="dxa"/>
            </w:tcMar>
            <w:vAlign w:val="center"/>
          </w:tcPr>
          <w:p w14:paraId="0F534207">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3.0, 41.0</w:t>
            </w:r>
          </w:p>
        </w:tc>
        <w:tc>
          <w:tcPr>
            <w:tcBorders>
              <w:top w:val="nil"/>
              <w:left w:val="nil"/>
              <w:bottom w:val="single" w:color="666666" w:sz="12" w:space="0"/>
              <w:right w:val="nil"/>
            </w:tcBorders>
            <w:shd w:val="clear" w:color="auto" w:fill="FFFFFF"/>
            <w:tcMar>
              <w:top w:w="0" w:type="dxa"/>
              <w:left w:w="0" w:type="dxa"/>
              <w:bottom w:w="0" w:type="dxa"/>
              <w:right w:w="0" w:type="dxa"/>
            </w:tcMar>
            <w:vAlign w:val="center"/>
          </w:tcPr>
          <w:p w14:paraId="7216227E">
            <w:pPr>
              <w:pBdr>
                <w:top w:val="none" w:color="000000" w:sz="0" w:space="0"/>
                <w:left w:val="none" w:color="000000" w:sz="0" w:space="0"/>
                <w:bottom w:val="none" w:color="000000" w:sz="0" w:space="0"/>
                <w:right w:val="none" w:color="000000" w:sz="0" w:space="0"/>
              </w:pBdr>
              <w:spacing w:before="100" w:after="100" w:line="240" w:lineRule="auto"/>
              <w:ind w:left="100" w:right="100" w:firstLine="0" w:firstLineChars="0"/>
              <w:jc w:val="center"/>
              <w:rPr>
                <w:rFonts w:ascii="Arial" w:hAnsi="Arial" w:eastAsia="Arial" w:cs="Arial"/>
                <w:b w:val="0"/>
                <w:i w:val="0"/>
                <w:color w:val="000000"/>
                <w:sz w:val="22"/>
                <w:szCs w:val="22"/>
                <w:u w:val="none"/>
              </w:rPr>
            </w:pPr>
            <w:r>
              <w:rPr>
                <w:rFonts w:ascii="Arial" w:hAnsi="Arial" w:eastAsia="Arial" w:cs="Arial"/>
                <w:b w:val="0"/>
                <w:i w:val="0"/>
                <w:color w:val="000000"/>
                <w:sz w:val="22"/>
                <w:szCs w:val="22"/>
                <w:u w:val="none"/>
              </w:rPr>
              <w:t>3.0, 52.0</w:t>
            </w:r>
          </w:p>
        </w:tc>
      </w:tr>
    </w:tbl>
    <w:p w14:paraId="244D5EA0"/>
    <w:p w14:paraId="6F3EA2FA">
      <w:r>
        <w:t>SD = Standard Deviation; Q1 = 25th percentile; Q3 = 75th percentile.
The Enrolled Analysis Set includes all subjects who signed the Informed Consent Form (ICF) and were randomized or were eligible to participate in the study.
The Full Analysis Set (FAS) includes all subjects in the Enrolled Analysis Set who received any study drug.
The PK analysis set includes all subjects in the FAS with sufficient data for calculation of PK parameters and PK analyses.
Percentages are based on the Enrolled Analysis Set (denominators shown in column headers).
Duration on Study is reported in days.
Data Lock Date: 23SEP2025
Source: ADSL.csv
Program Name: table_1_patient_disposition.R  Dataset Used: ADSL.csv  Runtime: 23SEP2025 08:57  Programmer: mawen</w:t>
      </w:r>
    </w:p>
    <w:sectPr>
      <w:type w:val="continuous"/>
      <w:pgSz w:w="11900" w:h="16840"/>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0000000" w:usb3="00000000" w:csb0="0000019F" w:csb1="00000000"/>
  </w:font>
  <w:font w:name="Lucida Grande">
    <w:panose1 w:val="020B0600040502020204"/>
    <w:charset w:val="00"/>
    <w:family w:val="auto"/>
    <w:pitch w:val="default"/>
    <w:sig w:usb0="E1000AEF" w:usb1="5000A1FF" w:usb2="00000000" w:usb3="00000000" w:csb0="200001BF" w:csb1="4F010000"/>
  </w:font>
  <w:font w:name="Arial">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25FD"/>
    <w:multiLevelType w:val="multilevel"/>
    <w:tmpl w:val="07E925FD"/>
    <w:lvl w:ilvl="0" w:tentative="0">
      <w:start w:val="1"/>
      <w:numFmt w:val="decimal"/>
      <w:pStyle w:val="2"/>
      <w:lvlText w:val="%1."/>
      <w:lvlJc w:val="left"/>
      <w:pPr>
        <w:ind w:left="360" w:hanging="360"/>
      </w:pPr>
    </w:lvl>
    <w:lvl w:ilvl="1" w:tentative="0">
      <w:start w:val="1"/>
      <w:numFmt w:val="decimal"/>
      <w:pStyle w:val="3"/>
      <w:lvlText w:val="%1.%2."/>
      <w:lvlJc w:val="left"/>
      <w:pPr>
        <w:ind w:left="792" w:hanging="432"/>
      </w:pPr>
    </w:lvl>
    <w:lvl w:ilvl="2" w:tentative="0">
      <w:start w:val="1"/>
      <w:numFmt w:val="decimal"/>
      <w:pStyle w:val="4"/>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08"/>
  <w:hyphenationZone w:val="425"/>
  <w:compat>
    <w:useFELayout/>
    <w:compatSetting w:name="compatibilityMode" w:uri="http://schemas.microsoft.com/office/word" w:val="15"/>
  </w:compat>
  <w:rsids>
    <w:rsidRoot w:val="00000000"/>
    <w:rsid w:val="3CDD5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en-US" w:bidi="ar-SA"/>
    </w:rPr>
  </w:style>
  <w:style w:type="paragraph" w:styleId="2">
    <w:name w:val="heading 1"/>
    <w:basedOn w:val="1"/>
    <w:next w:val="1"/>
    <w:link w:val="15"/>
    <w:qFormat/>
    <w:uiPriority w:val="9"/>
    <w:pPr>
      <w:keepNext/>
      <w:keepLines/>
      <w:numPr>
        <w:ilvl w:val="0"/>
        <w:numId w:val="1"/>
      </w:numPr>
      <w:pBdr>
        <w:bottom w:val="single" w:color="auto" w:sz="4" w:space="1"/>
      </w:pBdr>
      <w:spacing w:before="480"/>
      <w:outlineLvl w:val="0"/>
    </w:pPr>
    <w:rPr>
      <w:rFonts w:asciiTheme="majorHAnsi" w:hAnsiTheme="majorHAnsi" w:eastAsiaTheme="majorEastAsia" w:cstheme="majorBidi"/>
      <w:b/>
      <w:bCs/>
      <w:sz w:val="32"/>
      <w:szCs w:val="32"/>
    </w:rPr>
  </w:style>
  <w:style w:type="paragraph" w:styleId="3">
    <w:name w:val="heading 2"/>
    <w:basedOn w:val="1"/>
    <w:next w:val="1"/>
    <w:link w:val="16"/>
    <w:semiHidden/>
    <w:unhideWhenUsed/>
    <w:qFormat/>
    <w:uiPriority w:val="9"/>
    <w:pPr>
      <w:keepNext/>
      <w:keepLines/>
      <w:numPr>
        <w:ilvl w:val="1"/>
        <w:numId w:val="1"/>
      </w:numPr>
      <w:spacing w:before="200"/>
      <w:outlineLvl w:val="1"/>
    </w:pPr>
    <w:rPr>
      <w:rFonts w:asciiTheme="majorHAnsi" w:hAnsiTheme="majorHAnsi" w:eastAsiaTheme="majorEastAsia" w:cstheme="majorBidi"/>
      <w:b/>
      <w:bCs/>
      <w:sz w:val="26"/>
      <w:szCs w:val="26"/>
    </w:rPr>
  </w:style>
  <w:style w:type="paragraph" w:styleId="4">
    <w:name w:val="heading 3"/>
    <w:basedOn w:val="1"/>
    <w:next w:val="1"/>
    <w:link w:val="17"/>
    <w:semiHidden/>
    <w:unhideWhenUsed/>
    <w:qFormat/>
    <w:uiPriority w:val="9"/>
    <w:pPr>
      <w:keepNext/>
      <w:keepLines/>
      <w:numPr>
        <w:ilvl w:val="2"/>
        <w:numId w:val="1"/>
      </w:numPr>
      <w:spacing w:before="200"/>
      <w:outlineLvl w:val="2"/>
    </w:pPr>
    <w:rPr>
      <w:rFonts w:asciiTheme="majorHAnsi" w:hAnsiTheme="majorHAnsi" w:eastAsiaTheme="majorEastAsia" w:cstheme="majorBidi"/>
      <w:b/>
      <w:bCs/>
    </w:rPr>
  </w:style>
  <w:style w:type="character" w:default="1" w:styleId="11">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alloon Text"/>
    <w:basedOn w:val="1"/>
    <w:link w:val="20"/>
    <w:semiHidden/>
    <w:unhideWhenUsed/>
    <w:uiPriority w:val="99"/>
    <w:rPr>
      <w:rFonts w:ascii="Lucida Grande" w:hAnsi="Lucida Grande"/>
      <w:sz w:val="18"/>
      <w:szCs w:val="18"/>
    </w:rPr>
  </w:style>
  <w:style w:type="paragraph" w:styleId="6">
    <w:name w:val="toc 1"/>
    <w:basedOn w:val="1"/>
    <w:next w:val="1"/>
    <w:autoRedefine/>
    <w:unhideWhenUsed/>
    <w:uiPriority w:val="39"/>
    <w:pPr>
      <w:spacing w:after="100"/>
    </w:pPr>
  </w:style>
  <w:style w:type="paragraph" w:styleId="7">
    <w:name w:val="toc 2"/>
    <w:basedOn w:val="1"/>
    <w:next w:val="1"/>
    <w:autoRedefine/>
    <w:unhideWhenUsed/>
    <w:uiPriority w:val="39"/>
    <w:pPr>
      <w:spacing w:after="100"/>
      <w:ind w:left="240"/>
    </w:pPr>
  </w:style>
  <w:style w:type="table" w:styleId="9">
    <w:name w:val="Table Professional"/>
    <w:basedOn w:val="8"/>
    <w:semiHidden/>
    <w:unhideWhenUsed/>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shd w:val="solid" w:color="000000" w:fill="FFFFFF"/>
      </w:tcPr>
    </w:tblStylePr>
  </w:style>
  <w:style w:type="table" w:styleId="10">
    <w:name w:val="Light List Accent 2"/>
    <w:basedOn w:val="8"/>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character" w:customStyle="1" w:styleId="12">
    <w:name w:val="strong"/>
    <w:basedOn w:val="11"/>
    <w:qFormat/>
    <w:uiPriority w:val="1"/>
    <w:rPr>
      <w:b/>
    </w:rPr>
  </w:style>
  <w:style w:type="paragraph" w:customStyle="1" w:styleId="13">
    <w:name w:val="centered"/>
    <w:basedOn w:val="1"/>
    <w:qFormat/>
    <w:uiPriority w:val="0"/>
    <w:pPr>
      <w:jc w:val="center"/>
    </w:pPr>
  </w:style>
  <w:style w:type="table" w:customStyle="1" w:styleId="14">
    <w:name w:val="table_template"/>
    <w:basedOn w:val="8"/>
    <w:uiPriority w:val="59"/>
    <w:pPr>
      <w:jc w:val="right"/>
    </w:pPr>
    <w:tblPr>
      <w:jc w:val="center"/>
      <w:tblBorders>
        <w:top w:val="single" w:color="auto" w:sz="8" w:space="0"/>
        <w:bottom w:val="single" w:color="auto" w:sz="8" w:space="0"/>
        <w:insideH w:val="single" w:color="auto" w:sz="8" w:space="0"/>
      </w:tblBorders>
    </w:tblPr>
    <w:trPr>
      <w:jc w:val="center"/>
    </w:trPr>
    <w:tblStylePr w:type="firstRow">
      <w:rPr>
        <w:b/>
      </w:rPr>
      <w:tcPr>
        <w:tcBorders>
          <w:top w:val="nil"/>
          <w:left w:val="nil"/>
          <w:bottom w:val="single" w:color="auto" w:sz="18" w:space="0"/>
          <w:right w:val="nil"/>
          <w:insideH w:val="nil"/>
          <w:insideV w:val="nil"/>
          <w:tl2br w:val="nil"/>
          <w:tr2bl w:val="nil"/>
        </w:tcBorders>
      </w:tcPr>
    </w:tblStylePr>
  </w:style>
  <w:style w:type="character" w:customStyle="1" w:styleId="15">
    <w:name w:val="Titre 1 Car"/>
    <w:basedOn w:val="11"/>
    <w:link w:val="2"/>
    <w:uiPriority w:val="9"/>
    <w:rPr>
      <w:rFonts w:asciiTheme="majorHAnsi" w:hAnsiTheme="majorHAnsi" w:eastAsiaTheme="majorEastAsia" w:cstheme="majorBidi"/>
      <w:b/>
      <w:bCs/>
      <w:sz w:val="32"/>
      <w:szCs w:val="32"/>
    </w:rPr>
  </w:style>
  <w:style w:type="character" w:customStyle="1" w:styleId="16">
    <w:name w:val="Titre 2 Car"/>
    <w:basedOn w:val="11"/>
    <w:link w:val="3"/>
    <w:semiHidden/>
    <w:uiPriority w:val="9"/>
    <w:rPr>
      <w:rFonts w:asciiTheme="majorHAnsi" w:hAnsiTheme="majorHAnsi" w:eastAsiaTheme="majorEastAsia" w:cstheme="majorBidi"/>
      <w:b/>
      <w:bCs/>
      <w:sz w:val="26"/>
      <w:szCs w:val="26"/>
    </w:rPr>
  </w:style>
  <w:style w:type="character" w:customStyle="1" w:styleId="17">
    <w:name w:val="Titre 3 Car"/>
    <w:basedOn w:val="11"/>
    <w:link w:val="4"/>
    <w:semiHidden/>
    <w:uiPriority w:val="9"/>
    <w:rPr>
      <w:rFonts w:asciiTheme="majorHAnsi" w:hAnsiTheme="majorHAnsi" w:eastAsiaTheme="majorEastAsia" w:cstheme="majorBidi"/>
      <w:b/>
      <w:bCs/>
    </w:rPr>
  </w:style>
  <w:style w:type="paragraph" w:customStyle="1" w:styleId="18">
    <w:name w:val="Image Caption"/>
    <w:basedOn w:val="1"/>
    <w:qFormat/>
    <w:uiPriority w:val="0"/>
    <w:pPr>
      <w:jc w:val="center"/>
    </w:pPr>
    <w:rPr>
      <w:b/>
      <w:i/>
    </w:rPr>
  </w:style>
  <w:style w:type="paragraph" w:customStyle="1" w:styleId="19">
    <w:name w:val="Table Caption"/>
    <w:basedOn w:val="18"/>
    <w:qFormat/>
    <w:uiPriority w:val="0"/>
  </w:style>
  <w:style w:type="character" w:customStyle="1" w:styleId="20">
    <w:name w:val="Texte de bulles Car"/>
    <w:basedOn w:val="11"/>
    <w:link w:val="5"/>
    <w:semiHidden/>
    <w:uiPriority w:val="99"/>
    <w:rPr>
      <w:rFonts w:ascii="Lucida Grande" w:hAnsi="Lucida Grande"/>
      <w:sz w:val="18"/>
      <w:szCs w:val="18"/>
    </w:rPr>
  </w:style>
  <w:style w:type="character" w:customStyle="1" w:styleId="21">
    <w:name w:val="reference_id"/>
    <w:basedOn w:val="11"/>
    <w:uiPriority w:val="1"/>
    <w:rPr>
      <w:vertAlign w:val="superscript"/>
    </w:rPr>
  </w:style>
  <w:style w:type="paragraph" w:customStyle="1" w:styleId="22">
    <w:name w:val="graphic title"/>
    <w:basedOn w:val="18"/>
    <w:next w:val="1"/>
    <w:uiPriority w:val="0"/>
  </w:style>
  <w:style w:type="paragraph" w:customStyle="1" w:styleId="23">
    <w:name w:val="table title"/>
    <w:basedOn w:val="19"/>
    <w:next w:val="1"/>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contentTypeVersion="3" ma:_="" ma:versionID="c9e8985949224d0c6eef7261cfdf554a" ma:contentTypeName="Document" ma:contentTypeScope="" ma:contentTypeDescription="Create a new document." ma:contentTypeID="0x010100919B781D914B8F4DA9B66F64142F06C5">
  <xsd:schema xmlns:p="http://schemas.microsoft.com/office/2006/metadata/properties" xmlns:xs="http://www.w3.org/2001/XMLSchema" xmlns:ns2="113a7a88-47fa-435f-a78a-1e6020e9929d" xmlns:xsd="http://www.w3.org/2001/XMLSchema" ma:fieldsID="1f390c4c0f88a0c34739921d7a0d88cf" targetNamespace="http://schemas.microsoft.com/office/2006/metadata/properties" ma:root="true" ns2:_="">
    <xsd:import namespace="113a7a88-47fa-435f-a78a-1e6020e9929d"/>
    <xsd:element name="properties">
      <xsd:complexType>
        <xsd:sequence>
          <xsd:element name="documentManagement">
            <xsd:complexType>
              <xsd:all>
                <xsd:element minOccurs="0" ref="ns2:MediaServiceMetadata"/>
                <xsd:element minOccurs="0" ref="ns2:MediaServiceFastMetadata"/>
                <xsd:element minOccurs="0" ref="ns2:MediaServiceSearchProperties"/>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113a7a88-47fa-435f-a78a-1e6020e9929d" elementFormDefault="qualified">
    <xsd:import namespace="http://schemas.microsoft.com/office/2006/documentManagement/types"/>
    <xsd:import namespace="http://schemas.microsoft.com/office/infopath/2007/PartnerControls"/>
    <xsd:element ma:readOnly="true" ma:hidden="true" nillable="true" ma:displayName="MediaServiceMetadata" name="MediaServiceMetadata" ma:index="8" ma:internalName="MediaServiceMetadata">
      <xsd:simpleType>
        <xsd:restriction base="dms:Note"/>
      </xsd:simpleType>
    </xsd:element>
    <xsd:element ma:readOnly="true" ma:hidden="true" nillable="true" ma:displayName="MediaServiceFastMetadata" name="MediaServiceFastMetadata" ma:index="9" ma:internalName="MediaServiceFastMetadata">
      <xsd:simpleType>
        <xsd:restriction base="dms:Note"/>
      </xsd:simpleType>
    </xsd:element>
    <xsd:element ma:readOnly="true" ma:hidden="true" nillable="true" ma:displayName="MediaServiceSearchProperties" name="MediaServiceSearchProperties" ma:index="10" ma:internalName="MediaServiceSearchProperties">
      <xsd:simpleType>
        <xsd:restriction base="dms:Note"/>
      </xsd:simpleType>
    </xsd:element>
  </xsd:schema>
  <xsd:schema xmlns="http://schemas.openxmlformats.org/package/2006/metadata/core-properties" xmlns:odoc="http://schemas.microsoft.com/internal/obd" xmlns:xsd="http://www.w3.org/2001/XMLSchema" xmlns:xsi="http://www.w3.org/2001/XMLSchema-instance" xmlns:dc="http://purl.org/dc/elements/1.1/" xmlns:dcterms="http://purl.org/dc/terms/"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minOccurs="0" ref="dc:creator"/>
        <xsd:element maxOccurs="1" minOccurs="0" ref="dcterms:created"/>
        <xsd:element maxOccurs="1" minOccurs="0" ref="dc:identifier"/>
        <xsd:element type="xsd:string" maxOccurs="1" ma:displayName="Content Type" minOccurs="0" name="contentType" ma:index="0"/>
        <xsd:element maxOccurs="1" ma:displayName="Title" minOccurs="0" ref="dc:title" ma:index="4"/>
        <xsd:element maxOccurs="1" minOccurs="0" ref="dc:subject"/>
        <xsd:element maxOccurs="1" minOccurs="0" ref="dc:description"/>
        <xsd:element type="xsd:string" maxOccurs="1" minOccurs="0" name="keywords"/>
        <xsd:element maxOccurs="1" minOccurs="0" ref="dc:language"/>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maxOccurs="1" minOccurs="0" ref="dcterms:modified"/>
        <xsd:element type="xsd:string" maxOccurs="1"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C2555B0F-7875-4E78-9A81-28C63B396D3F}">
  <ds:schemaRefs/>
</ds:datastoreItem>
</file>

<file path=customXml/itemProps2.xml><?xml version="1.0" encoding="utf-8"?>
<ds:datastoreItem xmlns:ds="http://schemas.openxmlformats.org/officeDocument/2006/customXml" ds:itemID="{932E342E-FA64-4D1E-97CE-0ECF77063A14}">
  <ds:schemaRefs/>
</ds:datastoreItem>
</file>

<file path=customXml/itemProps3.xml><?xml version="1.0" encoding="utf-8"?>
<ds:datastoreItem xmlns:ds="http://schemas.openxmlformats.org/officeDocument/2006/customXml" ds:itemID="{E2B5406F-CDA8-420D-952E-585D74154F8C}">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2017-02-28T19:18:00Z</dcterms:created>
  <dc:creator>xm</dc:creator>
  <cp:lastModifiedBy>xm</cp:lastModifiedBy>
  <dcterms:modified xsi:type="dcterms:W3CDTF">2025-10-25T17:25:00Z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0x010100919B781D914B8F4DA9B66F64142F06C5</vt:lpwstr>
  </property>
  <property fmtid="{D5CDD505-2E9C-101B-9397-08002B2CF9AE}" pid="3" name="KSOProductBuildVer">
    <vt:lpwstr>2052-12.1.22522.22522</vt:lpwstr>
  </property>
  <property fmtid="{D5CDD505-2E9C-101B-9397-08002B2CF9AE}" pid="4" name="ICV">
    <vt:lpwstr>D418000097EDE7ED6C97FC688C3F8AB2_42</vt:lpwstr>
  </property>
</Properties>
</file>