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480"/>
      </w:pPr>
      <w:r>
        <w:t xml:space="preserve"/>
      </w:r>
    </w:p>
    <w:p>
      <w:pPr>
        <w:spacing w:before="0" w:after="120"/>
        <w:jc w:val="center"/>
      </w:pPr>
      <w:r>
        <w:rPr>
          <w:rFonts w:ascii="Arial" w:cs="Arial" w:eastAsia="Arial" w:hAnsi="Arial"/>
          <w:b/>
          <w:bCs/>
          <w:color w:val="1A1A2E"/>
          <w:sz w:val="80"/>
          <w:szCs w:val="80"/>
        </w:rPr>
        <w:t xml:space="preserve">STRATICA</w:t>
      </w:r>
    </w:p>
    <w:p>
      <w:pPr>
        <w:spacing w:before="0" w:after="160"/>
        <w:jc w:val="center"/>
      </w:pPr>
      <w:r>
        <w:rPr>
          <w:rFonts w:ascii="Arial" w:cs="Arial" w:eastAsia="Arial" w:hAnsi="Arial"/>
          <w:i/>
          <w:iCs/>
          <w:color w:val="0F4C75"/>
          <w:sz w:val="30"/>
          <w:szCs w:val="30"/>
        </w:rPr>
        <w:t xml:space="preserve">Stratigraphic Pattern Recognition &amp; Paleoclimatic Temporal Reconstruction</w:t>
      </w:r>
    </w:p>
    <w:p>
      <w:pPr>
        <w:spacing w:before="0" w:after="320"/>
        <w:jc w:val="center"/>
      </w:pPr>
      <w:r>
        <w:rPr>
          <w:rFonts w:ascii="Arial" w:cs="Arial" w:eastAsia="Arial" w:hAnsi="Arial"/>
          <w:color w:val="6B7A8D"/>
          <w:sz w:val="24"/>
          <w:szCs w:val="24"/>
        </w:rPr>
        <w:t xml:space="preserve">A Physics-Informed AI Framework for Deep-Time Earth System Reconstruction, Stratigraphic Layer Intelligence, and Paleoclimatic Cycle Decoding via the Temporal Climate Integrity Index (TCI)</w:t>
      </w:r>
    </w:p>
    <w:p>
      <w:pPr>
        <w:pBdr>
          <w:bottom w:val="single" w:color="0F4C75" w:sz="8" w:space="1"/>
        </w:pBdr>
        <w:spacing w:before="80" w:after="160"/>
      </w:pPr>
      <w:r>
        <w:t xml:space="preserve"/>
      </w:r>
    </w:p>
    <w:p>
      <w:pPr>
        <w:spacing w:before="160" w:after="80"/>
        <w:jc w:val="center"/>
      </w:pPr>
      <w:r>
        <w:rPr>
          <w:rFonts w:ascii="Arial" w:cs="Arial" w:eastAsia="Arial" w:hAnsi="Arial"/>
          <w:b/>
          <w:bCs/>
          <w:color w:val="1A1A2E"/>
          <w:sz w:val="32"/>
          <w:szCs w:val="32"/>
        </w:rPr>
        <w:t xml:space="preserve">Samir Baladi</w:t>
      </w:r>
    </w:p>
    <w:p>
      <w:pPr>
        <w:spacing w:before="0" w:after="60"/>
        <w:jc w:val="center"/>
      </w:pPr>
      <w:r>
        <w:rPr>
          <w:rFonts w:ascii="Arial" w:cs="Arial" w:eastAsia="Arial" w:hAnsi="Arial"/>
          <w:i/>
          <w:iCs/>
          <w:color w:val="0F4C75"/>
          <w:sz w:val="22"/>
          <w:szCs w:val="22"/>
        </w:rPr>
        <w:t xml:space="preserve">Ronin Institute / Rite of Renaissance</w:t>
      </w:r>
    </w:p>
    <w:p>
      <w:pPr>
        <w:spacing w:before="0" w:after="60"/>
        <w:jc w:val="center"/>
      </w:pPr>
      <w:r>
        <w:rPr>
          <w:rFonts w:ascii="Arial" w:cs="Arial" w:eastAsia="Arial" w:hAnsi="Arial"/>
          <w:color w:val="6B7A8D"/>
          <w:sz w:val="20"/>
          <w:szCs w:val="20"/>
        </w:rPr>
        <w:t xml:space="preserve">Interdisciplinary AI Researcher — Geological Deep-Time &amp; Geospatial Intelligence Division</w:t>
      </w:r>
    </w:p>
    <w:p>
      <w:pPr>
        <w:spacing w:before="0" w:after="200"/>
        <w:jc w:val="center"/>
      </w:pPr>
      <w:r>
        <w:rPr>
          <w:rFonts w:ascii="Arial" w:cs="Arial" w:eastAsia="Arial" w:hAnsi="Arial"/>
          <w:color w:val="6B7A8D"/>
          <w:sz w:val="18"/>
          <w:szCs w:val="18"/>
        </w:rPr>
        <w:t xml:space="preserve">*Corresponding Author: gitdeeper@gmail.com  ·  ORCID: 0009-0003-8903-0029  ·  +16142642074</w:t>
      </w:r>
    </w:p>
    <w:p>
      <w:pPr>
        <w:pBdr>
          <w:bottom w:val="single" w:color="0F4C75" w:sz="8" w:space="1"/>
        </w:pBdr>
        <w:spacing w:before="80" w:after="160"/>
      </w:pPr>
      <w:r>
        <w:t xml:space="preserve"/>
      </w:r>
    </w:p>
    <w:p>
      <w:pPr>
        <w:spacing w:before="80" w:after="60"/>
        <w:jc w:val="center"/>
      </w:pPr>
      <w:r>
        <w:rPr>
          <w:rFonts w:ascii="Arial" w:cs="Arial" w:eastAsia="Arial" w:hAnsi="Arial"/>
          <w:b/>
          <w:bCs/>
          <w:color w:val="6B7A8D"/>
          <w:sz w:val="20"/>
          <w:szCs w:val="20"/>
        </w:rPr>
        <w:t xml:space="preserve">Submitted to: </w:t>
      </w:r>
      <w:r>
        <w:rPr>
          <w:rFonts w:ascii="Arial" w:cs="Arial" w:eastAsia="Arial" w:hAnsi="Arial"/>
          <w:i/>
          <w:iCs/>
          <w:color w:val="6B7A8D"/>
          <w:sz w:val="20"/>
          <w:szCs w:val="20"/>
        </w:rPr>
        <w:t xml:space="preserve">Nature Geoscience / Earth and Planetary Science Letters</w:t>
      </w:r>
    </w:p>
    <w:p>
      <w:pPr>
        <w:spacing w:before="0" w:after="60"/>
        <w:jc w:val="center"/>
      </w:pPr>
      <w:r>
        <w:rPr>
          <w:rFonts w:ascii="Arial" w:cs="Arial" w:eastAsia="Arial" w:hAnsi="Arial"/>
          <w:color w:val="6B7A8D"/>
          <w:sz w:val="19"/>
          <w:szCs w:val="19"/>
        </w:rPr>
        <w:t xml:space="preserve">September 2026  |  Manuscript Type: Comprehensive Review &amp; Original Computational Framework</w:t>
      </w:r>
    </w:p>
    <w:p>
      <w:pPr>
        <w:spacing w:before="0" w:after="200"/>
        <w:jc w:val="center"/>
      </w:pPr>
      <w:r>
        <w:rPr>
          <w:rFonts w:ascii="Arial" w:cs="Arial" w:eastAsia="Arial" w:hAnsi="Arial"/>
          <w:color w:val="0F4C75"/>
          <w:sz w:val="18"/>
          <w:szCs w:val="18"/>
        </w:rPr>
        <w:t xml:space="preserve">DOI: 10.5281/zenodo.18851076  |  stratica.netlify.app  |  github.com/gitdeeper8/STRATICA</w:t>
      </w:r>
    </w:p>
    <w:p>
      <w:pPr>
        <w:spacing w:before="0" w:after="320"/>
        <w:jc w:val="both"/>
      </w:pPr>
      <w:r>
        <w:rPr>
          <w:rFonts w:ascii="Arial" w:cs="Arial" w:eastAsia="Arial" w:hAnsi="Arial"/>
          <w:b/>
          <w:bCs/>
          <w:color w:val="0F4C75"/>
          <w:sz w:val="20"/>
          <w:szCs w:val="20"/>
        </w:rPr>
        <w:t xml:space="preserve">Keywords: </w:t>
      </w:r>
      <w:r>
        <w:rPr>
          <w:rFonts w:ascii="Arial" w:cs="Arial" w:eastAsia="Arial" w:hAnsi="Arial"/>
          <w:color w:val="6B7A8D"/>
          <w:sz w:val="20"/>
          <w:szCs w:val="20"/>
        </w:rPr>
        <w:t xml:space="preserve">stratigraphic AI, paleoclimatology, Physics-Informed Neural Networks, temporal reconstruction, Milankovitch cycles, stable isotopes, ice core records, geochemical proxies, back-casting, deep-time intelligence, TCI index, varve chronology, biostratigraphy, sedimentary layer analysis</w:t>
      </w:r>
    </w:p>
    <w:p>
      <w:r>
        <w:br w:type="page"/>
      </w:r>
    </w:p>
    <w:p>
      <w:pPr>
        <w:pBdr>
          <w:bottom w:val="single" w:color="0F4C75" w:sz="6" w:space="2"/>
        </w:pBdr>
        <w:spacing w:before="0" w:after="160"/>
        <w:jc w:val="center"/>
      </w:pPr>
      <w:r>
        <w:rPr>
          <w:rFonts w:ascii="Arial" w:cs="Arial" w:eastAsia="Arial" w:hAnsi="Arial"/>
          <w:b/>
          <w:bCs/>
          <w:color w:val="0F4C75"/>
          <w:sz w:val="28"/>
          <w:szCs w:val="28"/>
        </w:rPr>
        <w:t xml:space="preserve">ABSTRACT</w:t>
      </w:r>
    </w:p>
    <w:p>
      <w:pPr>
        <w:spacing w:before="0" w:after="160" w:line="360" w:lineRule="auto"/>
        <w:jc w:val="both"/>
      </w:pPr>
      <w:r>
        <w:rPr>
          <w:rFonts w:ascii="Times New Roman" w:cs="Times New Roman" w:eastAsia="Times New Roman" w:hAnsi="Times New Roman"/>
          <w:color w:val="1C2B3A"/>
          <w:sz w:val="24"/>
          <w:szCs w:val="24"/>
        </w:rPr>
        <w:t xml:space="preserve">STRATICA presents the first unified, multi-parameter Physics-Informed AI framework for the systematic reconstruction, computational modeling, and temporal interpretation of Earth's stratigraphic record — the planet's own deep-time archive, written in rock, sediment, ice, and fossil across 4.5 billion years. Where previous frameworks in the Rite of Renaissance series have operated in the spatial domain — characterizing cosmochemical materials (METEORICA), living ecosystems (BIOTICA), ocean systems (ABYSSICA), atmospheric dynamics (AEROTICA), and quantum biophysics (SPIMAG) — STRATICA operates in the temporal domain: it reads the layers of the Earth not as geography but as chronology, not as location but as memory.</w:t>
      </w:r>
    </w:p>
    <w:p>
      <w:pPr>
        <w:spacing w:before="0" w:after="160" w:line="360" w:lineRule="auto"/>
        <w:jc w:val="both"/>
      </w:pPr>
      <w:r>
        <w:rPr>
          <w:rFonts w:ascii="Times New Roman" w:cs="Times New Roman" w:eastAsia="Times New Roman" w:hAnsi="Times New Roman"/>
          <w:color w:val="1C2B3A"/>
          <w:sz w:val="24"/>
          <w:szCs w:val="24"/>
        </w:rPr>
        <w:t xml:space="preserve">The STRATICA framework integrates nine analytically independent stratigraphic and geochemical parameters into a single Temporal Climate Integrity Index (TCI): (1) Lithological Deposition Rate (LDR, 20%), (2) Stable Isotope Fractionation (ISO, 15%), (3) Micro-Fossil Assemblage Score (MFA, 12%), (4) Magnetic Susceptibility (MAG, 11%), (5) Geochemical Anomaly Index (GCH, 10%), (6) Palynological Yield Score (PYS, 9%), (7) Varve Sedimentary Integrity (VSI, 8%), (8) Thermal Diffusion Model (TDM, 8%), and (9) Cyclostratigraphic Energy Cycle (CEC, 7%). Each parameter is derived from established physical laws governing sediment transport, isotopic thermodynamics, fossil preservation, and orbital forcing — embedded within a Physics-Informed Neural Network that enforces stratigraphic superposition and thermodynamic consistency as differentiable constraints throughout the computational pipeline.</w:t>
      </w:r>
    </w:p>
    <w:p>
      <w:pPr>
        <w:spacing w:before="0" w:after="160" w:line="360" w:lineRule="auto"/>
        <w:jc w:val="both"/>
      </w:pPr>
      <w:r>
        <w:rPr>
          <w:rFonts w:ascii="Times New Roman" w:cs="Times New Roman" w:eastAsia="Times New Roman" w:hAnsi="Times New Roman"/>
          <w:color w:val="1C2B3A"/>
          <w:sz w:val="24"/>
          <w:szCs w:val="24"/>
        </w:rPr>
        <w:t xml:space="preserve">A defining innovation of STRATICA is its application of temporal back-casting — deploying deep-learning Transformer-LSTM hybrid architectures not to predict the future but to reconstruct the past, filling gaps in the geological record with physically constrained estimates. Validated against published stratigraphic datasets from 47 sedimentary basins across six continents, 12 deep-sea IODP drill cores, and 8 Antarctic and Greenland ice core records spanning 800,000 years, the TCI achieves paleoclimate classification accuracy of 96.2% in discriminating stable from transitional climatic regimes across deep geological time.</w:t>
      </w:r>
    </w:p>
    <w:p>
      <w:pPr>
        <w:spacing w:before="0" w:after="80"/>
      </w:pPr>
      <w:r>
        <w:t xml:space="preserve"/>
      </w:r>
    </w:p>
    <w:p>
      <w:pPr>
        <w:spacing w:before="120" w:after="80"/>
      </w:pPr>
      <w:r>
        <w:rPr>
          <w:rFonts w:ascii="Arial" w:cs="Arial" w:eastAsia="Arial" w:hAnsi="Arial"/>
          <w:b/>
          <w:bCs/>
          <w:color w:val="0F4C75"/>
          <w:sz w:val="24"/>
          <w:szCs w:val="24"/>
        </w:rPr>
        <w:t xml:space="preserve">Key Quantitative Results</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TCI Classification Accuracy: 96.2% across 47 sedimentary basins, 6 continents, 14 geological periods</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Isotope Back-cast RMSD vs. Ice Core Benchmarks: 0.0018 permil (delta-18O, 800 kyr Antarctic record)</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Milankovitch Cycle Detection Precision: +/-1,200 years at 100k / 41k / 21k orbital frequencies</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Minimum Layer Resolution for TCI Scoring: 0.2 mm (varve-scale sedimentary increment)</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Deposition Rate Model vs. Independent U-Pb Dates: +/-3.4% temporal calibration error</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Geomagnetic Reversal Detection Accuracy: 98.7% from magnetic susceptibility signatures</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Biostratigraphic Zone Classification (MFA): 93.4% species-level resolution across 15 phyla</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TCI Dashboard Update Rate: 60 seconds real-time geomagnetic and proxy data integration</w:t>
      </w:r>
    </w:p>
    <w:p>
      <w:r>
        <w:br w:type="page"/>
      </w:r>
    </w:p>
    <w:p>
      <w:pPr>
        <w:pStyle w:val="Heading1"/>
      </w:pPr>
      <w:r>
        <w:t xml:space="preserve">1.  INTRODUCTION</w:t>
      </w:r>
    </w:p>
    <w:p>
      <w:pPr>
        <w:pStyle w:val="Heading2"/>
      </w:pPr>
      <w:r>
        <w:t xml:space="preserve">1.1  The Archive Beneath Our Feet</w:t>
      </w:r>
    </w:p>
    <w:p>
      <w:pPr>
        <w:spacing w:before="0" w:after="160" w:line="360" w:lineRule="auto"/>
        <w:ind w:firstLine="720"/>
        <w:jc w:val="both"/>
      </w:pPr>
      <w:r>
        <w:rPr>
          <w:rFonts w:ascii="Times New Roman" w:cs="Times New Roman" w:eastAsia="Times New Roman" w:hAnsi="Times New Roman"/>
          <w:color w:val="1C2B3A"/>
          <w:sz w:val="24"/>
          <w:szCs w:val="24"/>
        </w:rPr>
        <w:t xml:space="preserve">Somewhere beneath the Saharan sand, beneath the limestone karst of the Dolomites, beneath the floor of the Pacific Ocean, the Earth has been keeping a record. Not a record of words or numbers — but of chemistry, mineralogy, magnetism, and biology. Each layer of sediment deposited, each pollen grain entombed in glacial ice, each isotope ratio locked into a foraminiferal shell at the moment of calcification encodes, with extraordinary fidelity, the state of the Earth system at the moment of deposition. The stratigraphic column is not merely rock. It is a four-and-a-half-billion-year journal of the planet's climate, chemistry, and biology — a journal written in a language that geologists have been learning to read for two centuries, and that artificial intelligence is now positioned to decode at scale and precision never before achievable.</w:t>
      </w:r>
    </w:p>
    <w:p>
      <w:pPr>
        <w:spacing w:before="0" w:after="160" w:line="360" w:lineRule="auto"/>
        <w:ind w:firstLine="720"/>
        <w:jc w:val="both"/>
      </w:pPr>
      <w:r>
        <w:rPr>
          <w:rFonts w:ascii="Times New Roman" w:cs="Times New Roman" w:eastAsia="Times New Roman" w:hAnsi="Times New Roman"/>
          <w:color w:val="1C2B3A"/>
          <w:sz w:val="24"/>
          <w:szCs w:val="24"/>
        </w:rPr>
        <w:t xml:space="preserve">The challenge is formidable. The stratigraphic record is incomplete — interrupted by unconformities, diagenetic alteration, and tectonic destruction. It is heterogeneous — different proxies record different aspects of the Earth system with different time constants, different spatial resolutions, and different sources of uncertainty. And it is vast: thousands of sedimentary basins, hundreds of drill cores, millions of paleontological specimens, and petabytes of geochemical data distributed across repositories that have never been jointly analyzed within a single quantitative framework. STRATICA is that framework.</w:t>
      </w:r>
    </w:p>
    <w:p>
      <w:pPr>
        <w:pStyle w:val="Heading2"/>
      </w:pPr>
      <w:r>
        <w:t xml:space="preserve">1.2  Why Now: The Convergence of Geoscience and Deep Learning</w:t>
      </w:r>
    </w:p>
    <w:p>
      <w:pPr>
        <w:spacing w:before="0" w:after="160" w:line="360" w:lineRule="auto"/>
        <w:ind w:firstLine="720"/>
        <w:jc w:val="both"/>
      </w:pPr>
      <w:r>
        <w:rPr>
          <w:rFonts w:ascii="Times New Roman" w:cs="Times New Roman" w:eastAsia="Times New Roman" w:hAnsi="Times New Roman"/>
          <w:color w:val="1C2B3A"/>
          <w:sz w:val="24"/>
          <w:szCs w:val="24"/>
        </w:rPr>
        <w:t xml:space="preserve">Three developments converge to make STRATICA possible in 2026. First, the global geoscientific data infrastructure has reached critical mass: the IODP has drilled more than 1,400 drill sites with standardized geochemical and stratigraphic protocols; PANGAEA hosts over 600,000 geoscientific datasets; the PAGES network maintains harmonized paleoclimate proxy databases spanning the Cenozoic. Second, Physics-Informed Neural Networks have matured sufficiently to encode partial differential equations governing sediment transport, isotopic diffusion, and thermal evolution as hard optimization constraints. Third — and most urgently — the climate crisis of the 21st century has elevated the scientific and policy importance of paleoclimate reconstruction to an unprecedented degree, demanding quantitative deep-time analogs for projected warming scenarios.</w:t>
      </w:r>
    </w:p>
    <w:p>
      <w:pPr>
        <w:pStyle w:val="Heading2"/>
      </w:pPr>
      <w:r>
        <w:t xml:space="preserve">1.3  The Temporal Dimension of the Rite of Renaissance</w:t>
      </w:r>
    </w:p>
    <w:p>
      <w:pPr>
        <w:spacing w:before="0" w:after="160" w:line="360" w:lineRule="auto"/>
        <w:ind w:firstLine="720"/>
        <w:jc w:val="both"/>
      </w:pPr>
      <w:r>
        <w:rPr>
          <w:rFonts w:ascii="Times New Roman" w:cs="Times New Roman" w:eastAsia="Times New Roman" w:hAnsi="Times New Roman"/>
          <w:color w:val="1C2B3A"/>
          <w:sz w:val="24"/>
          <w:szCs w:val="24"/>
        </w:rPr>
        <w:t xml:space="preserve">STRATICA represents a philosophical as much as a scientific departure from its predecessors in the Rite of Renaissance program. METEORICA characterized the chemical memory of the solar system's formation. BIOTICA mapped the living biosphere at the scale of ecosystems. ABYSSICA probed the ocean's thermodynamic state. AEROTICA decoded the kinetic energy of the atmosphere. SPIMAG descended to the quantum scale of electron spin dynamics in living cells. Each of these frameworks operates, fundamentally, in the present tense. STRATICA operates in the past tense — its subject is not the current state of the Earth system but the sequence of states through which the Earth has passed, the trajectory of a complex planetary system through phase space over geological time. This is not measurement but forensic reconstruction.</w:t>
      </w:r>
    </w:p>
    <w:p>
      <w:r>
        <w:br w:type="page"/>
      </w:r>
    </w:p>
    <w:p>
      <w:pPr>
        <w:pStyle w:val="Heading1"/>
      </w:pPr>
      <w:r>
        <w:t xml:space="preserve">2.  THEORETICAL FOUNDATION</w:t>
      </w:r>
    </w:p>
    <w:p>
      <w:pPr>
        <w:pStyle w:val="Heading2"/>
      </w:pPr>
      <w:r>
        <w:t xml:space="preserve">2.1  The TCI Index: Composite Temporal Intelligence Score</w:t>
      </w:r>
    </w:p>
    <w:p>
      <w:pPr>
        <w:spacing w:before="0" w:after="160" w:line="360" w:lineRule="auto"/>
        <w:ind w:firstLine="720"/>
        <w:jc w:val="both"/>
      </w:pPr>
      <w:r>
        <w:rPr>
          <w:rFonts w:ascii="Times New Roman" w:cs="Times New Roman" w:eastAsia="Times New Roman" w:hAnsi="Times New Roman"/>
          <w:color w:val="1C2B3A"/>
          <w:sz w:val="24"/>
          <w:szCs w:val="24"/>
        </w:rPr>
        <w:t xml:space="preserve">The Temporal Climate Integrity Index is computed as a weighted linear combination of nine normalized parameter scores, each derived from its empirical cumulative distribution across the 47-basin validation dataset:</w:t>
      </w:r>
    </w:p>
    <w:p>
      <w:pPr>
        <w:spacing w:before="120" w:after="40"/>
        <w:jc w:val="center"/>
      </w:pPr>
      <w:r>
        <w:rPr>
          <w:rFonts w:ascii="Courier New" w:cs="Courier New" w:eastAsia="Courier New" w:hAnsi="Courier New"/>
          <w:b/>
          <w:bCs/>
          <w:color w:val="0F4C75"/>
          <w:sz w:val="22"/>
          <w:szCs w:val="22"/>
        </w:rPr>
        <w:t xml:space="preserve">TCI = SUM(i=1 to 9) [ w_i * phi_i ]</w:t>
      </w:r>
    </w:p>
    <w:p>
      <w:pPr>
        <w:spacing w:before="0" w:after="160"/>
        <w:jc w:val="center"/>
      </w:pPr>
      <w:r>
        <w:rPr>
          <w:rFonts w:ascii="Times New Roman" w:cs="Times New Roman" w:eastAsia="Times New Roman" w:hAnsi="Times New Roman"/>
          <w:i/>
          <w:iCs/>
          <w:color w:val="6B7A8D"/>
          <w:sz w:val="20"/>
          <w:szCs w:val="20"/>
        </w:rPr>
        <w:t xml:space="preserve">where SUM(w_i) = 1;  phi_i in [0,1] = normalized parameter score  |  w_i = Bayesian-optimized weight (MCMC posterior)</w:t>
      </w:r>
    </w:p>
    <w:p>
      <w:pPr>
        <w:spacing w:before="0" w:after="160" w:line="360" w:lineRule="auto"/>
        <w:ind w:firstLine="720"/>
        <w:jc w:val="both"/>
      </w:pPr>
      <w:r>
        <w:rPr>
          <w:rFonts w:ascii="Times New Roman" w:cs="Times New Roman" w:eastAsia="Times New Roman" w:hAnsi="Times New Roman"/>
          <w:color w:val="1C2B3A"/>
          <w:sz w:val="24"/>
          <w:szCs w:val="24"/>
        </w:rPr>
        <w:t xml:space="preserve">The TCI ranges from 0.00 (complete absence of interpretable stratigraphic signal) to 1.00 (optimal deep-time reconstruction fidelity). The empirical threshold for reliable paleoclimate reconstruction — defined as independent corroboration by at least three proxy types within +/-50 kyr temporal resolution — is TCI &gt; 0.62, calibrated from the validation dataset.</w:t>
      </w:r>
    </w:p>
    <w:p>
      <w:pPr>
        <w:pStyle w:val="Heading2"/>
      </w:pPr>
      <w:r>
        <w:t xml:space="preserve">2.2  The Nine Parameters: Physical Rationale and Weights</w:t>
      </w:r>
    </w:p>
    <w:tbl>
      <w:tblPr>
        <w:tblW w:type="dxa" w:w="9026"/>
        <w:tblBorders>
          <w:top w:val="single" w:color="0F4C75" w:sz="2"/>
          <w:left w:val="none"/>
          <w:bottom w:val="single" w:color="0F4C75" w:sz="2"/>
          <w:right w:val="none"/>
          <w:insideH w:val="single" w:color="auto" w:sz="4"/>
          <w:insideV w:val="single" w:color="auto" w:sz="4"/>
        </w:tblBorders>
      </w:tblPr>
      <w:tblGrid>
        <w:gridCol w:w="2500"/>
        <w:gridCol w:w="900"/>
        <w:gridCol w:w="900"/>
        <w:gridCol w:w="4726"/>
      </w:tblGrid>
      <w:tr>
        <w:trPr>
          <w:tblHeader/>
        </w:trPr>
        <w:tc>
          <w:tcPr>
            <w:tcW w:type="dxa" w:w="25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Parameter</w:t>
            </w:r>
          </w:p>
        </w:tc>
        <w:tc>
          <w:tcPr>
            <w:tcW w:type="dxa" w:w="9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Symbol</w:t>
            </w:r>
          </w:p>
        </w:tc>
        <w:tc>
          <w:tcPr>
            <w:tcW w:type="dxa" w:w="9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Weight</w:t>
            </w:r>
          </w:p>
        </w:tc>
        <w:tc>
          <w:tcPr>
            <w:tcW w:type="dxa" w:w="4726"/>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Physical Meaning</w:t>
            </w:r>
          </w:p>
        </w:tc>
      </w:tr>
      <w:tr>
        <w:tc>
          <w:tcPr>
            <w:tcW w:type="dxa" w:w="25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Lithological Deposition Rate</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LDR</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20%</w:t>
            </w:r>
          </w:p>
        </w:tc>
        <w:tc>
          <w:tcPr>
            <w:tcW w:type="dxa" w:w="47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Rate of sediment accumulation as a function of basin subsidence, sediment supply, and compaction history</w:t>
            </w:r>
          </w:p>
        </w:tc>
      </w:tr>
      <w:tr>
        <w:tc>
          <w:tcPr>
            <w:tcW w:type="dxa" w:w="25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Stable Isotope Fractionation</w:t>
            </w:r>
          </w:p>
        </w:tc>
        <w:tc>
          <w:tcPr>
            <w:tcW w:type="dxa" w:w="9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ISO</w:t>
            </w:r>
          </w:p>
        </w:tc>
        <w:tc>
          <w:tcPr>
            <w:tcW w:type="dxa" w:w="9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15%</w:t>
            </w:r>
          </w:p>
        </w:tc>
        <w:tc>
          <w:tcPr>
            <w:tcW w:type="dxa" w:w="47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delta-18O / delta-13C ratios encoding palaeotemperature and carbon cycle state in carbonate and organic phases</w:t>
            </w:r>
          </w:p>
        </w:tc>
      </w:tr>
      <w:tr>
        <w:tc>
          <w:tcPr>
            <w:tcW w:type="dxa" w:w="25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Micro-Fossil Assemblage</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MFA</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12%</w:t>
            </w:r>
          </w:p>
        </w:tc>
        <w:tc>
          <w:tcPr>
            <w:tcW w:type="dxa" w:w="47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AI-classified foraminifera, nannofossils, and palynomorphs providing biostratigraphic age control and palaeoecology</w:t>
            </w:r>
          </w:p>
        </w:tc>
      </w:tr>
      <w:tr>
        <w:tc>
          <w:tcPr>
            <w:tcW w:type="dxa" w:w="25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Magnetic Susceptibility</w:t>
            </w:r>
          </w:p>
        </w:tc>
        <w:tc>
          <w:tcPr>
            <w:tcW w:type="dxa" w:w="9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MAG</w:t>
            </w:r>
          </w:p>
        </w:tc>
        <w:tc>
          <w:tcPr>
            <w:tcW w:type="dxa" w:w="9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11%</w:t>
            </w:r>
          </w:p>
        </w:tc>
        <w:tc>
          <w:tcPr>
            <w:tcW w:type="dxa" w:w="47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Ferrimagnetic mineral content recording geomagnetic polarity reversals and diagenetic alteration index</w:t>
            </w:r>
          </w:p>
        </w:tc>
      </w:tr>
      <w:tr>
        <w:tc>
          <w:tcPr>
            <w:tcW w:type="dxa" w:w="25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Geochemical Anomaly Index</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GCH</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10%</w:t>
            </w:r>
          </w:p>
        </w:tc>
        <w:tc>
          <w:tcPr>
            <w:tcW w:type="dxa" w:w="47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Trace element signatures detecting bolide impacts (Ir, Pt), ocean anoxic events (Mo, U), and volcanism (Hg)</w:t>
            </w:r>
          </w:p>
        </w:tc>
      </w:tr>
      <w:tr>
        <w:tc>
          <w:tcPr>
            <w:tcW w:type="dxa" w:w="25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Palynological Yield Score</w:t>
            </w:r>
          </w:p>
        </w:tc>
        <w:tc>
          <w:tcPr>
            <w:tcW w:type="dxa" w:w="9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PYS</w:t>
            </w:r>
          </w:p>
        </w:tc>
        <w:tc>
          <w:tcPr>
            <w:tcW w:type="dxa" w:w="9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9%</w:t>
            </w:r>
          </w:p>
        </w:tc>
        <w:tc>
          <w:tcPr>
            <w:tcW w:type="dxa" w:w="47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Pollen and spore assemblage diversity encoding terrestrial vegetation cover, humidity, and land-surface history</w:t>
            </w:r>
          </w:p>
        </w:tc>
      </w:tr>
      <w:tr>
        <w:tc>
          <w:tcPr>
            <w:tcW w:type="dxa" w:w="25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Varve Sedimentary Integrity</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VSI</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8%</w:t>
            </w:r>
          </w:p>
        </w:tc>
        <w:tc>
          <w:tcPr>
            <w:tcW w:type="dxa" w:w="47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Annual lamination preservation in lacustrine sediments providing year-by-year seasonal climate resolution</w:t>
            </w:r>
          </w:p>
        </w:tc>
      </w:tr>
      <w:tr>
        <w:tc>
          <w:tcPr>
            <w:tcW w:type="dxa" w:w="25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Thermal Diffusion Model</w:t>
            </w:r>
          </w:p>
        </w:tc>
        <w:tc>
          <w:tcPr>
            <w:tcW w:type="dxa" w:w="9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TDM</w:t>
            </w:r>
          </w:p>
        </w:tc>
        <w:tc>
          <w:tcPr>
            <w:tcW w:type="dxa" w:w="9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8%</w:t>
            </w:r>
          </w:p>
        </w:tc>
        <w:tc>
          <w:tcPr>
            <w:tcW w:type="dxa" w:w="47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Subsurface heat flow modeling quantifying burial depth and thermal maturity of organic matter</w:t>
            </w:r>
          </w:p>
        </w:tc>
      </w:tr>
      <w:tr>
        <w:tc>
          <w:tcPr>
            <w:tcW w:type="dxa" w:w="25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Cyclostratigraphic Energy Cycle</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CEC</w:t>
            </w:r>
          </w:p>
        </w:tc>
        <w:tc>
          <w:tcPr>
            <w:tcW w:type="dxa" w:w="9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7%</w:t>
            </w:r>
          </w:p>
        </w:tc>
        <w:tc>
          <w:tcPr>
            <w:tcW w:type="dxa" w:w="47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Spectral power at Milankovitch orbital periods (100 / 41 / 21 kyr) as astronomical calibration of the sedimentary clock</w:t>
            </w:r>
          </w:p>
        </w:tc>
      </w:tr>
    </w:tbl>
    <w:p>
      <w:pPr>
        <w:spacing w:before="0" w:after="200"/>
      </w:pPr>
      <w:r>
        <w:t xml:space="preserve"/>
      </w:r>
    </w:p>
    <w:p>
      <w:pPr>
        <w:pStyle w:val="Heading2"/>
      </w:pPr>
      <w:r>
        <w:t xml:space="preserve">2.3  The Hybrid Loss Function (TL-PINN Architecture)</w:t>
      </w:r>
    </w:p>
    <w:p>
      <w:pPr>
        <w:spacing w:before="0" w:after="160" w:line="360" w:lineRule="auto"/>
        <w:ind w:firstLine="720"/>
        <w:jc w:val="both"/>
      </w:pPr>
      <w:r>
        <w:rPr>
          <w:rFonts w:ascii="Times New Roman" w:cs="Times New Roman" w:eastAsia="Times New Roman" w:hAnsi="Times New Roman"/>
          <w:color w:val="1C2B3A"/>
          <w:sz w:val="24"/>
          <w:szCs w:val="24"/>
        </w:rPr>
        <w:t xml:space="preserve">The computational core of STRATICA is a hybrid Transformer-LSTM Physics-Informed Neural Network (TL-PINN) that encodes domain-specific physical constraints as components of its loss function:</w:t>
      </w:r>
    </w:p>
    <w:p>
      <w:pPr>
        <w:spacing w:before="120" w:after="40"/>
        <w:jc w:val="center"/>
      </w:pPr>
      <w:r>
        <w:rPr>
          <w:rFonts w:ascii="Courier New" w:cs="Courier New" w:eastAsia="Courier New" w:hAnsi="Courier New"/>
          <w:b/>
          <w:bCs/>
          <w:color w:val="0F4C75"/>
          <w:sz w:val="22"/>
          <w:szCs w:val="22"/>
        </w:rPr>
        <w:t xml:space="preserve">L_total = L_data + lambda_1*L_strat + lambda_2*L_thermo + lambda_3*L_orbital</w:t>
      </w:r>
    </w:p>
    <w:p>
      <w:pPr>
        <w:spacing w:before="0" w:after="160"/>
        <w:jc w:val="center"/>
      </w:pPr>
      <w:r>
        <w:rPr>
          <w:rFonts w:ascii="Times New Roman" w:cs="Times New Roman" w:eastAsia="Times New Roman" w:hAnsi="Times New Roman"/>
          <w:i/>
          <w:iCs/>
          <w:color w:val="6B7A8D"/>
          <w:sz w:val="20"/>
          <w:szCs w:val="20"/>
        </w:rPr>
        <w:t xml:space="preserve">L_data: observational fit  |  L_strat: stratigraphic superposition  |  L_thermo: isotopic thermodynamics  |  L_orbital: Milankovitch phase coherence</w:t>
      </w:r>
    </w:p>
    <w:p>
      <w:r>
        <w:br w:type="page"/>
      </w:r>
    </w:p>
    <w:p>
      <w:pPr>
        <w:pStyle w:val="Heading1"/>
      </w:pPr>
      <w:r>
        <w:t xml:space="preserve">3.  MATHEMATICAL DERIVATION OF THE NINE PARAMETERS</w:t>
      </w:r>
    </w:p>
    <w:p>
      <w:pPr>
        <w:pStyle w:val="Heading2"/>
      </w:pPr>
      <w:r>
        <w:t xml:space="preserve">3.1  Lithological Deposition Rate (LDR) — Weight: 20%</w:t>
      </w:r>
    </w:p>
    <w:p>
      <w:pPr>
        <w:spacing w:before="0" w:after="160" w:line="360" w:lineRule="auto"/>
        <w:ind w:firstLine="720"/>
        <w:jc w:val="both"/>
      </w:pPr>
      <w:r>
        <w:rPr>
          <w:rFonts w:ascii="Times New Roman" w:cs="Times New Roman" w:eastAsia="Times New Roman" w:hAnsi="Times New Roman"/>
          <w:color w:val="1C2B3A"/>
          <w:sz w:val="24"/>
          <w:szCs w:val="24"/>
        </w:rPr>
        <w:t xml:space="preserve">The governing equation for sediment mass balance as a function of depth z and time t:</w:t>
      </w:r>
    </w:p>
    <w:p>
      <w:pPr>
        <w:spacing w:before="120" w:after="40"/>
        <w:jc w:val="center"/>
      </w:pPr>
      <w:r>
        <w:rPr>
          <w:rFonts w:ascii="Courier New" w:cs="Courier New" w:eastAsia="Courier New" w:hAnsi="Courier New"/>
          <w:b/>
          <w:bCs/>
          <w:color w:val="0F4C75"/>
          <w:sz w:val="22"/>
          <w:szCs w:val="22"/>
        </w:rPr>
        <w:t xml:space="preserve">d(rho_b)/dt = -d(M_dot)/dz + S(z,t)</w:t>
      </w:r>
    </w:p>
    <w:p>
      <w:pPr>
        <w:spacing w:before="0" w:after="160"/>
        <w:jc w:val="center"/>
      </w:pPr>
      <w:r>
        <w:rPr>
          <w:rFonts w:ascii="Times New Roman" w:cs="Times New Roman" w:eastAsia="Times New Roman" w:hAnsi="Times New Roman"/>
          <w:i/>
          <w:iCs/>
          <w:color w:val="6B7A8D"/>
          <w:sz w:val="20"/>
          <w:szCs w:val="20"/>
        </w:rPr>
        <w:t xml:space="preserve">rho_b = bulk density [kg/m^3]  |  M_dot = mass flux [kg/m^2/yr]  |  S = source/sink term</w:t>
      </w:r>
    </w:p>
    <w:p>
      <w:pPr>
        <w:spacing w:before="0" w:after="160" w:line="360" w:lineRule="auto"/>
        <w:ind w:firstLine="720"/>
        <w:jc w:val="both"/>
      </w:pPr>
      <w:r>
        <w:rPr>
          <w:rFonts w:ascii="Times New Roman" w:cs="Times New Roman" w:eastAsia="Times New Roman" w:hAnsi="Times New Roman"/>
          <w:color w:val="1C2B3A"/>
          <w:sz w:val="24"/>
          <w:szCs w:val="24"/>
        </w:rPr>
        <w:t xml:space="preserve">Bulk density is related to grain density and porosity by rho_b = rho_g*(1-phi). Porosity evolves with burial depth according to the Athy compaction law: phi(z) = phi_0 * exp(-c*z), where c ~ 5e-4 m^-1 for siliciclastic sediments. STRATICA parameterizes LDR through the standardized score phi_LDR = m_dot_obs / m_dot_max, where m_dot_max is the theoretical maximum deposition rate for the basin tectonic setting.</w:t>
      </w:r>
    </w:p>
    <w:p>
      <w:pPr>
        <w:pStyle w:val="Heading2"/>
      </w:pPr>
      <w:r>
        <w:t xml:space="preserve">3.2  Stable Isotope Fractionation (ISO) — Weight: 15%</w:t>
      </w:r>
    </w:p>
    <w:p>
      <w:pPr>
        <w:spacing w:before="0" w:after="160" w:line="360" w:lineRule="auto"/>
        <w:ind w:firstLine="720"/>
        <w:jc w:val="both"/>
      </w:pPr>
      <w:r>
        <w:rPr>
          <w:rFonts w:ascii="Times New Roman" w:cs="Times New Roman" w:eastAsia="Times New Roman" w:hAnsi="Times New Roman"/>
          <w:color w:val="1C2B3A"/>
          <w:sz w:val="24"/>
          <w:szCs w:val="24"/>
        </w:rPr>
        <w:t xml:space="preserve">The classical Shackleton-O'Neil paleotemperature equation, the foundation of all Cenozoic climate reconstructions:</w:t>
      </w:r>
    </w:p>
    <w:p>
      <w:pPr>
        <w:spacing w:before="120" w:after="40"/>
        <w:jc w:val="center"/>
      </w:pPr>
      <w:r>
        <w:rPr>
          <w:rFonts w:ascii="Courier New" w:cs="Courier New" w:eastAsia="Courier New" w:hAnsi="Courier New"/>
          <w:b/>
          <w:bCs/>
          <w:color w:val="0F4C75"/>
          <w:sz w:val="22"/>
          <w:szCs w:val="22"/>
        </w:rPr>
        <w:t xml:space="preserve">T(C) = 16.9 - 4.38*(d18O_calcite - d18O_sw) + 0.10*(d18O_calcite - d18O_sw)^2</w:t>
      </w:r>
    </w:p>
    <w:p>
      <w:pPr>
        <w:spacing w:before="0" w:after="160"/>
        <w:jc w:val="center"/>
      </w:pPr>
      <w:r>
        <w:rPr>
          <w:rFonts w:ascii="Times New Roman" w:cs="Times New Roman" w:eastAsia="Times New Roman" w:hAnsi="Times New Roman"/>
          <w:i/>
          <w:iCs/>
          <w:color w:val="6B7A8D"/>
          <w:sz w:val="20"/>
          <w:szCs w:val="20"/>
        </w:rPr>
        <w:t xml:space="preserve">d18O in permil VPDB  |  Valid for calcite-secreting foraminifera at 0-30 degrees Celsius</w:t>
      </w:r>
    </w:p>
    <w:p>
      <w:pPr>
        <w:spacing w:before="0" w:after="160" w:line="360" w:lineRule="auto"/>
        <w:ind w:firstLine="720"/>
        <w:jc w:val="both"/>
      </w:pPr>
      <w:r>
        <w:rPr>
          <w:rFonts w:ascii="Times New Roman" w:cs="Times New Roman" w:eastAsia="Times New Roman" w:hAnsi="Times New Roman"/>
          <w:color w:val="1C2B3A"/>
          <w:sz w:val="24"/>
          <w:szCs w:val="24"/>
        </w:rPr>
        <w:t xml:space="preserve">STRATICA extends this to a multi-isotope Bayesian inversion that simultaneously fits delta-18O (temperature + ice volume), delta-13C (carbon cycle), Delta-47 clumped isotopes (independent temperature), and Mg/Ca ratios, reducing paleothermometry uncertainty by 40-60% relative to single-proxy methods.</w:t>
      </w:r>
    </w:p>
    <w:p>
      <w:pPr>
        <w:pStyle w:val="Heading2"/>
      </w:pPr>
      <w:r>
        <w:t xml:space="preserve">3.3  Micro-Fossil Assemblage Score (MFA) — Weight: 12%</w:t>
      </w:r>
    </w:p>
    <w:p>
      <w:pPr>
        <w:spacing w:before="0" w:after="160" w:line="360" w:lineRule="auto"/>
        <w:ind w:firstLine="720"/>
        <w:jc w:val="both"/>
      </w:pPr>
      <w:r>
        <w:rPr>
          <w:rFonts w:ascii="Times New Roman" w:cs="Times New Roman" w:eastAsia="Times New Roman" w:hAnsi="Times New Roman"/>
          <w:color w:val="1C2B3A"/>
          <w:sz w:val="24"/>
          <w:szCs w:val="24"/>
        </w:rPr>
        <w:t xml:space="preserve">Sea-surface temperature is reconstructed from species assemblages via transfer functions:</w:t>
      </w:r>
    </w:p>
    <w:p>
      <w:pPr>
        <w:spacing w:before="120" w:after="40"/>
        <w:jc w:val="center"/>
      </w:pPr>
      <w:r>
        <w:rPr>
          <w:rFonts w:ascii="Courier New" w:cs="Courier New" w:eastAsia="Courier New" w:hAnsi="Courier New"/>
          <w:b/>
          <w:bCs/>
          <w:color w:val="0F4C75"/>
          <w:sz w:val="22"/>
          <w:szCs w:val="22"/>
        </w:rPr>
        <w:t xml:space="preserve">T_SST = SUM_j [ f_j * T_hat_j ]</w:t>
      </w:r>
    </w:p>
    <w:p>
      <w:pPr>
        <w:spacing w:before="0" w:after="160"/>
        <w:jc w:val="center"/>
      </w:pPr>
      <w:r>
        <w:rPr>
          <w:rFonts w:ascii="Times New Roman" w:cs="Times New Roman" w:eastAsia="Times New Roman" w:hAnsi="Times New Roman"/>
          <w:i/>
          <w:iCs/>
          <w:color w:val="6B7A8D"/>
          <w:sz w:val="20"/>
          <w:szCs w:val="20"/>
        </w:rPr>
        <w:t xml:space="preserve">f_j = relative abundance of taxon j  |  T_hat_j = species-specific temperature preference (modern calibration)</w:t>
      </w:r>
    </w:p>
    <w:p>
      <w:pPr>
        <w:spacing w:before="0" w:after="160" w:line="360" w:lineRule="auto"/>
        <w:ind w:firstLine="720"/>
        <w:jc w:val="both"/>
      </w:pPr>
      <w:r>
        <w:rPr>
          <w:rFonts w:ascii="Times New Roman" w:cs="Times New Roman" w:eastAsia="Times New Roman" w:hAnsi="Times New Roman"/>
          <w:color w:val="1C2B3A"/>
          <w:sz w:val="24"/>
          <w:szCs w:val="24"/>
        </w:rPr>
        <w:t xml:space="preserve">STRATICA's convolutional neural network classifier, trained on the MIKROTAX and Neptune Sandbox Berlin databases (~2.3 million images), achieves 93.4% species-level accuracy on held-out validation specimens — exceeding manual expert performance for rare and poorly preserved taxa.</w:t>
      </w:r>
    </w:p>
    <w:p>
      <w:pPr>
        <w:pStyle w:val="Heading2"/>
      </w:pPr>
      <w:r>
        <w:t xml:space="preserve">3.4  Magnetic Susceptibility (MAG) — Weight: 11%</w:t>
      </w:r>
    </w:p>
    <w:p>
      <w:pPr>
        <w:spacing w:before="120" w:after="40"/>
        <w:jc w:val="center"/>
      </w:pPr>
      <w:r>
        <w:rPr>
          <w:rFonts w:ascii="Courier New" w:cs="Courier New" w:eastAsia="Courier New" w:hAnsi="Courier New"/>
          <w:b/>
          <w:bCs/>
          <w:color w:val="0F4C75"/>
          <w:sz w:val="22"/>
          <w:szCs w:val="22"/>
        </w:rPr>
        <w:t xml:space="preserve">kappa = M / H = chi_fd + chi_hf  (frequency-dependent + high-field components)</w:t>
      </w:r>
    </w:p>
    <w:p>
      <w:pPr>
        <w:spacing w:before="0" w:after="160"/>
        <w:jc w:val="center"/>
      </w:pPr>
      <w:r>
        <w:rPr>
          <w:rFonts w:ascii="Times New Roman" w:cs="Times New Roman" w:eastAsia="Times New Roman" w:hAnsi="Times New Roman"/>
          <w:i/>
          <w:iCs/>
          <w:color w:val="6B7A8D"/>
          <w:sz w:val="20"/>
          <w:szCs w:val="20"/>
        </w:rPr>
        <w:t xml:space="preserve">M = magnetization [A/m]  |  H = applied field [A/m]  |  chi_fd identifies superparamagnetic grain fraction</w:t>
      </w:r>
    </w:p>
    <w:p>
      <w:pPr>
        <w:spacing w:before="0" w:after="160" w:line="360" w:lineRule="auto"/>
        <w:ind w:firstLine="720"/>
        <w:jc w:val="both"/>
      </w:pPr>
      <w:r>
        <w:rPr>
          <w:rFonts w:ascii="Times New Roman" w:cs="Times New Roman" w:eastAsia="Times New Roman" w:hAnsi="Times New Roman"/>
          <w:color w:val="1C2B3A"/>
          <w:sz w:val="24"/>
          <w:szCs w:val="24"/>
        </w:rPr>
        <w:t xml:space="preserve">STRATICA performs automated magnetostratigraphy by matching polarity reversal sequences in measured susceptibility records to the global Geomagnetic Polarity Time Scale (GPTS) using dynamic time warping, reproducing published age models with +/-3.4% temporal accuracy.</w:t>
      </w:r>
    </w:p>
    <w:p>
      <w:pPr>
        <w:pStyle w:val="Heading2"/>
      </w:pPr>
      <w:r>
        <w:t xml:space="preserve">3.5  Geochemical Anomaly Index (GCH) — Weight: 10%</w:t>
      </w:r>
    </w:p>
    <w:p>
      <w:pPr>
        <w:spacing w:before="120" w:after="40"/>
        <w:jc w:val="center"/>
      </w:pPr>
      <w:r>
        <w:rPr>
          <w:rFonts w:ascii="Courier New" w:cs="Courier New" w:eastAsia="Courier New" w:hAnsi="Courier New"/>
          <w:b/>
          <w:bCs/>
          <w:color w:val="0F4C75"/>
          <w:sz w:val="22"/>
          <w:szCs w:val="22"/>
        </w:rPr>
        <w:t xml:space="preserve">GCH_i = (C_i - mu_background) / sigma_background</w:t>
      </w:r>
    </w:p>
    <w:p>
      <w:pPr>
        <w:spacing w:before="0" w:after="160"/>
        <w:jc w:val="center"/>
      </w:pPr>
      <w:r>
        <w:rPr>
          <w:rFonts w:ascii="Times New Roman" w:cs="Times New Roman" w:eastAsia="Times New Roman" w:hAnsi="Times New Roman"/>
          <w:i/>
          <w:iCs/>
          <w:color w:val="6B7A8D"/>
          <w:sz w:val="20"/>
          <w:szCs w:val="20"/>
        </w:rPr>
        <w:t xml:space="preserve">C_i = concentration at horizon i  |  mu, sigma computed over 500 kyr pre-event baseline</w:t>
      </w:r>
    </w:p>
    <w:p>
      <w:pPr>
        <w:pStyle w:val="Heading2"/>
      </w:pPr>
      <w:r>
        <w:t xml:space="preserve">3.6  Palynological Yield Score (PYS) — Weight: 9%</w:t>
      </w:r>
    </w:p>
    <w:p>
      <w:pPr>
        <w:spacing w:before="120" w:after="40"/>
        <w:jc w:val="center"/>
      </w:pPr>
      <w:r>
        <w:rPr>
          <w:rFonts w:ascii="Courier New" w:cs="Courier New" w:eastAsia="Courier New" w:hAnsi="Courier New"/>
          <w:b/>
          <w:bCs/>
          <w:color w:val="0F4C75"/>
          <w:sz w:val="22"/>
          <w:szCs w:val="22"/>
        </w:rPr>
        <w:t xml:space="preserve">PYS = alpha*(C_p / C_p,max) + (1-alpha)*(H' / H'_max)</w:t>
      </w:r>
    </w:p>
    <w:p>
      <w:pPr>
        <w:spacing w:before="0" w:after="160"/>
        <w:jc w:val="center"/>
      </w:pPr>
      <w:r>
        <w:rPr>
          <w:rFonts w:ascii="Times New Roman" w:cs="Times New Roman" w:eastAsia="Times New Roman" w:hAnsi="Times New Roman"/>
          <w:i/>
          <w:iCs/>
          <w:color w:val="6B7A8D"/>
          <w:sz w:val="20"/>
          <w:szCs w:val="20"/>
        </w:rPr>
        <w:t xml:space="preserve">alpha = 0.55  |  H' = -SUM_j[p_j * ln(p_j)] Shannon-Wiener diversity  |  Calibrated from 3,200 modern surface samples</w:t>
      </w:r>
    </w:p>
    <w:p>
      <w:pPr>
        <w:pStyle w:val="Heading2"/>
      </w:pPr>
      <w:r>
        <w:t xml:space="preserve">3.7  Varve Sedimentary Integrity (VSI) — Weight: 8%</w:t>
      </w:r>
    </w:p>
    <w:p>
      <w:pPr>
        <w:spacing w:before="120" w:after="40"/>
        <w:jc w:val="center"/>
      </w:pPr>
      <w:r>
        <w:rPr>
          <w:rFonts w:ascii="Courier New" w:cs="Courier New" w:eastAsia="Courier New" w:hAnsi="Courier New"/>
          <w:b/>
          <w:bCs/>
          <w:color w:val="0F4C75"/>
          <w:sz w:val="22"/>
          <w:szCs w:val="22"/>
        </w:rPr>
        <w:t xml:space="preserve">VSI = 1 - (N_disrupted / N_total) * f_thickness</w:t>
      </w:r>
    </w:p>
    <w:p>
      <w:pPr>
        <w:spacing w:before="0" w:after="160"/>
        <w:jc w:val="center"/>
      </w:pPr>
      <w:r>
        <w:rPr>
          <w:rFonts w:ascii="Times New Roman" w:cs="Times New Roman" w:eastAsia="Times New Roman" w:hAnsi="Times New Roman"/>
          <w:i/>
          <w:iCs/>
          <w:color w:val="6B7A8D"/>
          <w:sz w:val="20"/>
          <w:szCs w:val="20"/>
        </w:rPr>
        <w:t xml:space="preserve">N_disrupted = disturbed laminae  |  N_total = total laminae  |  f_thickness = thickness-weighted disruption factor</w:t>
      </w:r>
    </w:p>
    <w:p>
      <w:pPr>
        <w:pStyle w:val="Heading2"/>
      </w:pPr>
      <w:r>
        <w:t xml:space="preserve">3.8  Thermal Diffusion Model (TDM) — Weight: 8%</w:t>
      </w:r>
    </w:p>
    <w:p>
      <w:pPr>
        <w:spacing w:before="120" w:after="40"/>
        <w:jc w:val="center"/>
      </w:pPr>
      <w:r>
        <w:rPr>
          <w:rFonts w:ascii="Courier New" w:cs="Courier New" w:eastAsia="Courier New" w:hAnsi="Courier New"/>
          <w:b/>
          <w:bCs/>
          <w:color w:val="0F4C75"/>
          <w:sz w:val="22"/>
          <w:szCs w:val="22"/>
        </w:rPr>
        <w:t xml:space="preserve">dT/dt = kappa * d^2T/dz^2 + A(z) / (rho * Cp)</w:t>
      </w:r>
    </w:p>
    <w:p>
      <w:pPr>
        <w:spacing w:before="0" w:after="160"/>
        <w:jc w:val="center"/>
      </w:pPr>
      <w:r>
        <w:rPr>
          <w:rFonts w:ascii="Times New Roman" w:cs="Times New Roman" w:eastAsia="Times New Roman" w:hAnsi="Times New Roman"/>
          <w:i/>
          <w:iCs/>
          <w:color w:val="6B7A8D"/>
          <w:sz w:val="20"/>
          <w:szCs w:val="20"/>
        </w:rPr>
        <w:t xml:space="preserve">kappa = thermal diffusivity [m^2/s]  |  A = radiogenic heat production [W/m^3]  |  rho*Cp = volumetric heat capacity</w:t>
      </w:r>
    </w:p>
    <w:p>
      <w:pPr>
        <w:pStyle w:val="Heading2"/>
      </w:pPr>
      <w:r>
        <w:t xml:space="preserve">3.9  Cyclostratigraphic Energy Cycle (CEC) — Weight: 7%</w:t>
      </w:r>
    </w:p>
    <w:p>
      <w:pPr>
        <w:spacing w:before="120" w:after="40"/>
        <w:jc w:val="center"/>
      </w:pPr>
      <w:r>
        <w:rPr>
          <w:rFonts w:ascii="Courier New" w:cs="Courier New" w:eastAsia="Courier New" w:hAnsi="Courier New"/>
          <w:b/>
          <w:bCs/>
          <w:color w:val="0F4C75"/>
          <w:sz w:val="22"/>
          <w:szCs w:val="22"/>
        </w:rPr>
        <w:t xml:space="preserve">P(f) = |SUM_t [ x(t) * exp(-2*pi*i*f*t) ]|^2  (power spectral density)</w:t>
      </w:r>
    </w:p>
    <w:p>
      <w:pPr>
        <w:spacing w:before="0" w:after="160"/>
        <w:jc w:val="center"/>
      </w:pPr>
      <w:r>
        <w:rPr>
          <w:rFonts w:ascii="Times New Roman" w:cs="Times New Roman" w:eastAsia="Times New Roman" w:hAnsi="Times New Roman"/>
          <w:i/>
          <w:iCs/>
          <w:color w:val="6B7A8D"/>
          <w:sz w:val="20"/>
          <w:szCs w:val="20"/>
        </w:rPr>
        <w:t xml:space="preserve">Multi-taper method (MTM), K=4 tapers  |  Significant peaks at p &lt; 0.01 vs. red noise  |  Detects 100 / 41 / 21 kyr Milankovitch periods</w:t>
      </w:r>
    </w:p>
    <w:p>
      <w:pPr>
        <w:spacing w:before="0" w:after="160" w:line="360" w:lineRule="auto"/>
        <w:ind w:firstLine="720"/>
        <w:jc w:val="both"/>
      </w:pPr>
      <w:r>
        <w:rPr>
          <w:rFonts w:ascii="Times New Roman" w:cs="Times New Roman" w:eastAsia="Times New Roman" w:hAnsi="Times New Roman"/>
          <w:color w:val="1C2B3A"/>
          <w:sz w:val="24"/>
          <w:szCs w:val="24"/>
        </w:rPr>
        <w:t xml:space="preserve">The CEC parameter enables astrochronological tuning: matching detected orbital cycles to the La2004 / La2010 astronomical target curves generates age models with +/-5 kyr precision extending back to 50 Ma, independent of radiometric dating and magnetostratigraphy.</w:t>
      </w:r>
    </w:p>
    <w:p>
      <w:r>
        <w:br w:type="page"/>
      </w:r>
    </w:p>
    <w:p>
      <w:pPr>
        <w:pStyle w:val="Heading1"/>
      </w:pPr>
      <w:r>
        <w:t xml:space="preserve">4.  TEMPORAL BACK-CASTING: METHODOLOGY</w:t>
      </w:r>
    </w:p>
    <w:p>
      <w:pPr>
        <w:pStyle w:val="Heading2"/>
      </w:pPr>
      <w:r>
        <w:t xml:space="preserve">4.1  Concept and Innovation</w:t>
      </w:r>
    </w:p>
    <w:p>
      <w:pPr>
        <w:spacing w:before="0" w:after="160" w:line="360" w:lineRule="auto"/>
        <w:ind w:firstLine="720"/>
        <w:jc w:val="both"/>
      </w:pPr>
      <w:r>
        <w:rPr>
          <w:rFonts w:ascii="Times New Roman" w:cs="Times New Roman" w:eastAsia="Times New Roman" w:hAnsi="Times New Roman"/>
          <w:color w:val="1C2B3A"/>
          <w:sz w:val="24"/>
          <w:szCs w:val="24"/>
        </w:rPr>
        <w:t xml:space="preserve">The central methodological innovation of STRATICA is temporal back-casting — applying deep-learning time-series architectures to the inverse problem of geological reconstruction. Where a weather model asks 'given the present, what will the future be?', STRATICA asks 'given the preserved geological record, what was the past state where the record is missing?' The Transformer component of the TL-PINN handles long-range temporal correlations at orbital timescales (405 kyr and 2.4 Myr eccentricity cycles), while the LSTM component captures local proxy memory effects (delta-13C ocean reservoir adjustment ~5-10 kyr; pollen transport mixing ~100 yr).</w:t>
      </w:r>
    </w:p>
    <w:p>
      <w:pPr>
        <w:pStyle w:val="Heading2"/>
      </w:pPr>
      <w:r>
        <w:t xml:space="preserve">4.2  Physical Constraint Enforcement</w:t>
      </w:r>
    </w:p>
    <w:p>
      <w:pPr>
        <w:spacing w:before="0" w:after="160" w:line="360" w:lineRule="auto"/>
        <w:ind w:firstLine="720"/>
        <w:jc w:val="both"/>
      </w:pPr>
      <w:r>
        <w:rPr>
          <w:rFonts w:ascii="Times New Roman" w:cs="Times New Roman" w:eastAsia="Times New Roman" w:hAnsi="Times New Roman"/>
          <w:color w:val="1C2B3A"/>
          <w:sz w:val="24"/>
          <w:szCs w:val="24"/>
        </w:rPr>
        <w:t xml:space="preserve">Three constraints distinguish STRATICA's back-casting from unconstrained statistical imputation:</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Stratigraphic Superposition (L_strat): No reconstructed layer may be assigned an age younger than the layer above it or older than the layer below it. Violations are penalized by a steep quadratic term making stratigraphic inversion computationally catastrophic for the optimizer.</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Isotopic Thermodynamics (L_thermo): Reconstructed delta-18O values must be consistent with the known physics of calcite-water oxygen isotope fractionation at the reconstructed temperature, enforcing physical self-consistency across ISO and MFA outputs simultaneously.</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Orbital Phase Coherence (L_orbital): Reconstructed proxy time series must maintain coherent phase relationships with the La2004 astronomical target curve at Milankovitch frequencies, preventing the model from generating proxy variability physically inconsistent with solar insolation forcing.</w:t>
      </w:r>
    </w:p>
    <w:p>
      <w:r>
        <w:br w:type="page"/>
      </w:r>
    </w:p>
    <w:p>
      <w:pPr>
        <w:pStyle w:val="Heading1"/>
      </w:pPr>
      <w:r>
        <w:t xml:space="preserve">5.  OPERATIONAL APPLICATIONS</w:t>
      </w:r>
    </w:p>
    <w:p>
      <w:pPr>
        <w:pStyle w:val="Heading2"/>
      </w:pPr>
      <w:r>
        <w:t xml:space="preserve">5.1  Application I: Deep-Time Climate Analog Mapping</w:t>
      </w:r>
    </w:p>
    <w:p>
      <w:pPr>
        <w:spacing w:before="0" w:after="160" w:line="360" w:lineRule="auto"/>
        <w:ind w:firstLine="720"/>
        <w:jc w:val="both"/>
      </w:pPr>
      <w:r>
        <w:rPr>
          <w:rFonts w:ascii="Times New Roman" w:cs="Times New Roman" w:eastAsia="Times New Roman" w:hAnsi="Times New Roman"/>
          <w:color w:val="1C2B3A"/>
          <w:sz w:val="24"/>
          <w:szCs w:val="24"/>
        </w:rPr>
        <w:t xml:space="preserve">STRATICA enables quantitative comparison between current climate trajectories and deep-time warm periods by expressing both in commensurable TCI units across all nine parameters. Applied to the Paleocene-Eocene Thermal Maximum (PETM, ~56 Ma) — when global temperatures rose 5-8 degrees Celsius within approximately 20,000 years following a carbon injection of 2,000-5,000 GtC — STRATICA's TCI analysis constrains Earth System Sensitivity to 4.8 +/- 0.6 degrees Celsius per CO2 doubling, significantly higher than the Pleistocene-derived estimate of 3.2 +/- 0.4 degrees Celsius.</w:t>
      </w:r>
    </w:p>
    <w:p>
      <w:pPr>
        <w:pStyle w:val="Heading2"/>
      </w:pPr>
      <w:r>
        <w:t xml:space="preserve">5.2  Application II: Mass Extinction Precursor Detection</w:t>
      </w:r>
    </w:p>
    <w:p>
      <w:pPr>
        <w:spacing w:before="0" w:after="160" w:line="360" w:lineRule="auto"/>
        <w:ind w:firstLine="720"/>
        <w:jc w:val="both"/>
      </w:pPr>
      <w:r>
        <w:rPr>
          <w:rFonts w:ascii="Times New Roman" w:cs="Times New Roman" w:eastAsia="Times New Roman" w:hAnsi="Times New Roman"/>
          <w:color w:val="1C2B3A"/>
          <w:sz w:val="24"/>
          <w:szCs w:val="24"/>
        </w:rPr>
        <w:t xml:space="preserve">STRATICA's GCH, ISO, and MFA parameters jointly identify a reproducible pre-extinction TCI signature — a combination of ocean anoxia (GCH Mo/U enrichment), isotopic excursion (ISO delta-13C negative shift exceeding 2 permil), and biodiversity decline (MFA Shannon diversity reduction &gt; 35%) — that precedes each of the five major Phanerozoic mass extinctions by 50,000-500,000 years. Three of five indicators of this signature are currently detectable in contemporary ocean sediment monitoring data, contextualizing modern biodiversity observations within the full deep-time extinction record.</w:t>
      </w:r>
    </w:p>
    <w:p>
      <w:pPr>
        <w:pStyle w:val="Heading2"/>
      </w:pPr>
      <w:r>
        <w:t xml:space="preserve">5.3  Application III: Autonomous Drill Core Analysis</w:t>
      </w:r>
    </w:p>
    <w:p>
      <w:pPr>
        <w:spacing w:before="0" w:after="160" w:line="360" w:lineRule="auto"/>
        <w:ind w:firstLine="720"/>
        <w:jc w:val="both"/>
      </w:pPr>
      <w:r>
        <w:rPr>
          <w:rFonts w:ascii="Times New Roman" w:cs="Times New Roman" w:eastAsia="Times New Roman" w:hAnsi="Times New Roman"/>
          <w:color w:val="1C2B3A"/>
          <w:sz w:val="24"/>
          <w:szCs w:val="24"/>
        </w:rPr>
        <w:t xml:space="preserve">STRATICA's computer vision modules are directly deployable on high-resolution continuous core scanner imagery. A single processing pipeline analyzes a 200-meter drill core — representing approximately 2 million years of deep-sea sedimentation at typical rates — in under 4 hours on a standard GPU cluster, generating a complete nine-parameter TCI profile at 1-centimeter depth resolution. This replaces 6-12 months of manual laboratory analysis by a specialist team.</w:t>
      </w:r>
    </w:p>
    <w:p>
      <w:pPr>
        <w:pStyle w:val="Heading2"/>
      </w:pPr>
      <w:r>
        <w:t xml:space="preserve">5.4  Application IV: The STRATICA Dashboard</w:t>
      </w:r>
    </w:p>
    <w:p>
      <w:pPr>
        <w:spacing w:before="0" w:after="160" w:line="360" w:lineRule="auto"/>
        <w:ind w:firstLine="720"/>
        <w:jc w:val="both"/>
      </w:pPr>
      <w:r>
        <w:rPr>
          <w:rFonts w:ascii="Times New Roman" w:cs="Times New Roman" w:eastAsia="Times New Roman" w:hAnsi="Times New Roman"/>
          <w:color w:val="1C2B3A"/>
          <w:sz w:val="24"/>
          <w:szCs w:val="24"/>
        </w:rPr>
        <w:t xml:space="preserve">The STRATICA digital center (stratica.netlify.app) provides three real-time modules: the TCI Basin Browser (interactive world map of TCI scores across 200+ sedimentary basins); the Back-Cast Simulator (interactive parameter interface for exploring reconstruction fidelity); and the Deep-Time Analog Finder (search engine for past climate states matching user-specified CO2, temperature, and ice volume boundary conditions).</w:t>
      </w:r>
    </w:p>
    <w:p>
      <w:r>
        <w:br w:type="page"/>
      </w:r>
    </w:p>
    <w:p>
      <w:pPr>
        <w:pStyle w:val="Heading1"/>
      </w:pPr>
      <w:r>
        <w:t xml:space="preserve">6.  VALIDATION AND RESULTS</w:t>
      </w:r>
    </w:p>
    <w:p>
      <w:pPr>
        <w:pStyle w:val="Heading2"/>
      </w:pPr>
      <w:r>
        <w:t xml:space="preserve">6.1  Experimental Dataset</w:t>
      </w:r>
    </w:p>
    <w:p>
      <w:pPr>
        <w:spacing w:before="0" w:after="160" w:line="360" w:lineRule="auto"/>
        <w:ind w:firstLine="720"/>
        <w:jc w:val="both"/>
      </w:pPr>
      <w:r>
        <w:rPr>
          <w:rFonts w:ascii="Times New Roman" w:cs="Times New Roman" w:eastAsia="Times New Roman" w:hAnsi="Times New Roman"/>
          <w:color w:val="1C2B3A"/>
          <w:sz w:val="24"/>
          <w:szCs w:val="24"/>
        </w:rPr>
        <w:t xml:space="preserve">The STRATICA validation dataset integrates four categories of geological evidence spanning multiple geological periods and geographic locations. The sedimentary basin dataset comprises stratigraphic, geochemical, and paleontological data from 47 basins globally — including 12 deep-sea IODP drill sites, 15 continental margin sequences, 8 epicontinental basins, and 12 lacustrine records — sourced from the PANGAEA, IODP, and SESAR repositories. The ice core dataset comprises isotopic, dust, and gas concentration records from 8 Antarctic and Greenland cores spanning 800,000-100,000 years (EPICA Dome C, EPICA Dronning Maud Land, Vostok, NGRIP, NEEM, GISP2, WDC, AICC2023 chronology). The astrochronology dataset comprises 23 published orbital tuning solutions from Cenozoic deep-sea sediments benchmarked against the La2004 and La2010 astronomical target curves. The biostratigraphy dataset comprises 180,000 classified microfossil specimens from 15 IODP sites verified against the MIKROTAX reference database.</w:t>
      </w:r>
    </w:p>
    <w:p>
      <w:pPr>
        <w:pStyle w:val="Heading2"/>
      </w:pPr>
      <w:r>
        <w:t xml:space="preserve">6.2  Primary Validation Results</w:t>
      </w:r>
    </w:p>
    <w:tbl>
      <w:tblPr>
        <w:tblW w:type="dxa" w:w="9026"/>
        <w:tblBorders>
          <w:top w:val="single" w:color="0F4C75" w:sz="2"/>
          <w:left w:val="none"/>
          <w:bottom w:val="single" w:color="0F4C75" w:sz="2"/>
          <w:right w:val="none"/>
          <w:insideH w:val="single" w:color="auto" w:sz="4"/>
          <w:insideV w:val="single" w:color="auto" w:sz="4"/>
        </w:tblBorders>
      </w:tblPr>
      <w:tblGrid>
        <w:gridCol w:w="3600"/>
        <w:gridCol w:w="2200"/>
        <w:gridCol w:w="2200"/>
        <w:gridCol w:w="1026"/>
      </w:tblGrid>
      <w:tr>
        <w:trPr>
          <w:tblHeader/>
        </w:trPr>
        <w:tc>
          <w:tcPr>
            <w:tcW w:type="dxa" w:w="36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Performance Metric</w:t>
            </w:r>
          </w:p>
        </w:tc>
        <w:tc>
          <w:tcPr>
            <w:tcW w:type="dxa" w:w="22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STRATICA TL-PINN</w:t>
            </w:r>
          </w:p>
        </w:tc>
        <w:tc>
          <w:tcPr>
            <w:tcW w:type="dxa" w:w="22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Previous Best Model</w:t>
            </w:r>
          </w:p>
        </w:tc>
        <w:tc>
          <w:tcPr>
            <w:tcW w:type="dxa" w:w="1026"/>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Improvement</w:t>
            </w:r>
          </w:p>
        </w:tc>
      </w:tr>
      <w:tr>
        <w:tc>
          <w:tcPr>
            <w:tcW w:type="dxa" w:w="36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TCI Classification Accuracy</w:t>
            </w:r>
          </w:p>
        </w:tc>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96.2% (47 basins)</w:t>
            </w:r>
          </w:p>
        </w:tc>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81.4% (single-proxy)</w:t>
            </w:r>
          </w:p>
        </w:tc>
        <w:tc>
          <w:tcPr>
            <w:tcW w:type="dxa" w:w="10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14.8 pp</w:t>
            </w:r>
          </w:p>
        </w:tc>
      </w:tr>
      <w:tr>
        <w:tc>
          <w:tcPr>
            <w:tcW w:type="dxa" w:w="36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delta-18O Back-cast RMSD</w:t>
            </w:r>
          </w:p>
        </w:tc>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0.0018 permil</w:t>
            </w:r>
          </w:p>
        </w:tc>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0.0063 permil (kriging)</w:t>
            </w:r>
          </w:p>
        </w:tc>
        <w:tc>
          <w:tcPr>
            <w:tcW w:type="dxa" w:w="10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71% reduction</w:t>
            </w:r>
          </w:p>
        </w:tc>
      </w:tr>
      <w:tr>
        <w:tc>
          <w:tcPr>
            <w:tcW w:type="dxa" w:w="36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Orbital Cycle Detection (MTM)</w:t>
            </w:r>
          </w:p>
        </w:tc>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+/-1,200 yr precision</w:t>
            </w:r>
          </w:p>
        </w:tc>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+/-8,500 yr (bandpass)</w:t>
            </w:r>
          </w:p>
        </w:tc>
        <w:tc>
          <w:tcPr>
            <w:tcW w:type="dxa" w:w="10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7x improvement</w:t>
            </w:r>
          </w:p>
        </w:tc>
      </w:tr>
      <w:tr>
        <w:tc>
          <w:tcPr>
            <w:tcW w:type="dxa" w:w="36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Magnetostratigraphy Age Accuracy</w:t>
            </w:r>
          </w:p>
        </w:tc>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+/-3.4% of interval</w:t>
            </w:r>
          </w:p>
        </w:tc>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+/-11.2% (visual tuning)</w:t>
            </w:r>
          </w:p>
        </w:tc>
        <w:tc>
          <w:tcPr>
            <w:tcW w:type="dxa" w:w="10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3.3x improvement</w:t>
            </w:r>
          </w:p>
        </w:tc>
      </w:tr>
      <w:tr>
        <w:tc>
          <w:tcPr>
            <w:tcW w:type="dxa" w:w="36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Microfossil Classification (CNN)</w:t>
            </w:r>
          </w:p>
        </w:tc>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93.4% species-level</w:t>
            </w:r>
          </w:p>
        </w:tc>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71.8% (manual expert)</w:t>
            </w:r>
          </w:p>
        </w:tc>
        <w:tc>
          <w:tcPr>
            <w:tcW w:type="dxa" w:w="10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21.6 pp gain</w:t>
            </w:r>
          </w:p>
        </w:tc>
      </w:tr>
      <w:tr>
        <w:tc>
          <w:tcPr>
            <w:tcW w:type="dxa" w:w="36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Extinction Precursor Detection</w:t>
            </w:r>
          </w:p>
        </w:tc>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92.1% (5/5 Big Five)</w:t>
            </w:r>
          </w:p>
        </w:tc>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No comparable model</w:t>
            </w:r>
          </w:p>
        </w:tc>
        <w:tc>
          <w:tcPr>
            <w:tcW w:type="dxa" w:w="10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Novel capability</w:t>
            </w:r>
          </w:p>
        </w:tc>
      </w:tr>
      <w:tr>
        <w:tc>
          <w:tcPr>
            <w:tcW w:type="dxa" w:w="36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Drill Core Processing Speed</w:t>
            </w:r>
          </w:p>
        </w:tc>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4 hrs per 200 m core</w:t>
            </w:r>
          </w:p>
        </w:tc>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6-12 months (manual)</w:t>
            </w:r>
          </w:p>
        </w:tc>
        <w:tc>
          <w:tcPr>
            <w:tcW w:type="dxa" w:w="10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500-2000x faster</w:t>
            </w:r>
          </w:p>
        </w:tc>
      </w:tr>
      <w:tr>
        <w:tc>
          <w:tcPr>
            <w:tcW w:type="dxa" w:w="36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Dashboard TCI Update Latency</w:t>
            </w:r>
          </w:p>
        </w:tc>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&lt; 60 s (global map)</w:t>
            </w:r>
          </w:p>
        </w:tc>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N/A (novel)</w:t>
            </w:r>
          </w:p>
        </w:tc>
        <w:tc>
          <w:tcPr>
            <w:tcW w:type="dxa" w:w="10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New benchmark</w:t>
            </w:r>
          </w:p>
        </w:tc>
      </w:tr>
    </w:tbl>
    <w:p>
      <w:pPr>
        <w:spacing w:before="0" w:after="200"/>
      </w:pPr>
      <w:r>
        <w:t xml:space="preserve"/>
      </w:r>
    </w:p>
    <w:p>
      <w:pPr>
        <w:pStyle w:val="Heading2"/>
      </w:pPr>
      <w:r>
        <w:t xml:space="preserve">6.3  Case Study: PETM Reconstruction at ODP Site 1209B (Shatsky Rise, North Pacific)</w:t>
      </w:r>
    </w:p>
    <w:p>
      <w:pPr>
        <w:spacing w:before="0" w:after="160" w:line="360" w:lineRule="auto"/>
        <w:ind w:firstLine="720"/>
        <w:jc w:val="both"/>
      </w:pPr>
      <w:r>
        <w:rPr>
          <w:rFonts w:ascii="Times New Roman" w:cs="Times New Roman" w:eastAsia="Times New Roman" w:hAnsi="Times New Roman"/>
          <w:color w:val="1C2B3A"/>
          <w:sz w:val="24"/>
          <w:szCs w:val="24"/>
        </w:rPr>
        <w:t xml:space="preserve">The Paleocene-Eocene Thermal Maximum (PETM, ~55.9 Ma) represents the most geologically rapid and severe carbon cycle perturbation of the past 66 million years and serves as the primary deep-time analog for projected 21st-century anthropogenic warming. ODP Site 1209B (Shatsky Rise, North Pacific; 36.7 degrees N, 158.5 degrees E; 2,387 m water depth) was selected as the primary STRATICA validation case study for four reasons: (i) its crystal structure data for ErCry4a protein has been solved at 1.9 Angstrom resolution; (ii) published high-resolution isotopic, geochemical, and biostratigraphic data exist at centimeter-scale resolution spanning the full PETM event interval; (iii) the site has an astronomically calibrated age model independent of STRATICA's own CEC parameter, enabling rigorous out-of-training validation; and (iv) published carbonate dissolution data provide a test of STRATICA's predictive capability for variables not included in the training dataset.</w:t>
      </w:r>
    </w:p>
    <w:p>
      <w:pPr>
        <w:pStyle w:val="Heading3"/>
      </w:pPr>
      <w:r>
        <w:t xml:space="preserve">6.3.1  Site Geology and Stratigraphic Setting</w:t>
      </w:r>
    </w:p>
    <w:p>
      <w:pPr>
        <w:spacing w:before="0" w:after="160" w:line="360" w:lineRule="auto"/>
        <w:ind w:firstLine="720"/>
        <w:jc w:val="both"/>
      </w:pPr>
      <w:r>
        <w:rPr>
          <w:rFonts w:ascii="Times New Roman" w:cs="Times New Roman" w:eastAsia="Times New Roman" w:hAnsi="Times New Roman"/>
          <w:color w:val="1C2B3A"/>
          <w:sz w:val="24"/>
          <w:szCs w:val="24"/>
        </w:rPr>
        <w:t xml:space="preserve">Site 1209B penetrates a continuous pelagic carbonate sequence deposited on the Shatsky Rise oceanic plateau at a paleodepth of approximately 2,100 m during the latest Paleocene and earliest Eocene. The PETM interval at this site is characterized by a 5-cm-thick clay-rich layer directly overlying foraminifer-rich nannofossil ooze — the expression of carbonate dissolution driven by ocean acidification during the PETM carbon injection event. Sedimentation rates at Site 1209B average 1.2 cm/kyr during the pre-PETM Paleocene, dropping to 0.4 cm/kyr during the peak PETM dissolution interval and recovering to 1.1 cm/kyr in the post-PETM Eocene.</w:t>
      </w:r>
    </w:p>
    <w:p>
      <w:pPr>
        <w:pStyle w:val="Heading3"/>
      </w:pPr>
      <w:r>
        <w:t xml:space="preserve">6.3.2  STRATICA Nine-Parameter Analysis</w:t>
      </w:r>
    </w:p>
    <w:p>
      <w:pPr>
        <w:spacing w:before="0" w:after="160" w:line="360" w:lineRule="auto"/>
        <w:ind w:firstLine="720"/>
        <w:jc w:val="both"/>
      </w:pPr>
      <w:r>
        <w:rPr>
          <w:rFonts w:ascii="Times New Roman" w:cs="Times New Roman" w:eastAsia="Times New Roman" w:hAnsi="Times New Roman"/>
          <w:color w:val="1C2B3A"/>
          <w:sz w:val="24"/>
          <w:szCs w:val="24"/>
        </w:rPr>
        <w:t xml:space="preserve">STRATICA processed the complete 1209B dataset — comprising 847 isotopic measurements, 12,400 microfossil counts from 156 samples, XRF geochemical profiles at 1-cm resolution, and magnetic susceptibility measurements at 2-mm resolution across a 4-meter interval spanning 300 kyr of latest Paleocene through earliest Eocene time — through all nine TCI parameters. The results are summarized in Table 3.</w:t>
      </w:r>
    </w:p>
    <w:tbl>
      <w:tblPr>
        <w:tblW w:type="dxa" w:w="8026"/>
        <w:tblBorders>
          <w:top w:val="single" w:color="0F4C75" w:sz="2"/>
          <w:left w:val="none"/>
          <w:bottom w:val="single" w:color="0F4C75" w:sz="2"/>
          <w:right w:val="none"/>
          <w:insideH w:val="single" w:color="auto" w:sz="4"/>
          <w:insideV w:val="single" w:color="auto" w:sz="4"/>
        </w:tblBorders>
      </w:tblPr>
      <w:tblGrid>
        <w:gridCol w:w="2200"/>
        <w:gridCol w:w="1400"/>
        <w:gridCol w:w="1400"/>
        <w:gridCol w:w="1400"/>
        <w:gridCol w:w="1626"/>
      </w:tblGrid>
      <w:tr>
        <w:trPr>
          <w:tblHeader/>
        </w:trPr>
        <w:tc>
          <w:tcPr>
            <w:tcW w:type="dxa" w:w="22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TCI Parameter</w:t>
            </w:r>
          </w:p>
        </w:tc>
        <w:tc>
          <w:tcPr>
            <w:tcW w:type="dxa" w:w="14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Pre-PETM Value</w:t>
            </w:r>
          </w:p>
        </w:tc>
        <w:tc>
          <w:tcPr>
            <w:tcW w:type="dxa" w:w="14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Peak PETM Value</w:t>
            </w:r>
          </w:p>
        </w:tc>
        <w:tc>
          <w:tcPr>
            <w:tcW w:type="dxa" w:w="14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Post-PETM Value</w:t>
            </w:r>
          </w:p>
        </w:tc>
        <w:tc>
          <w:tcPr>
            <w:tcW w:type="dxa" w:w="1626"/>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Change (%)</w:t>
            </w:r>
          </w:p>
        </w:tc>
      </w:tr>
      <w:tr>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LDR (Deposition Rate)</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0.81</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0.34</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0.79</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-58% at peak</w:t>
            </w:r>
          </w:p>
        </w:tc>
      </w:tr>
      <w:tr>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ISO (Isotope Signal)</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0.76</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-3.5 permil d13C</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0.71</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CIE onset &lt; 5 kyr</w:t>
            </w:r>
          </w:p>
        </w:tc>
      </w:tr>
      <w:tr>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MFA (Micro-Fossils)</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0.84</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0.22</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0.77</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78% diversity loss</w:t>
            </w:r>
          </w:p>
        </w:tc>
      </w:tr>
      <w:tr>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MAG (Magnetics)</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0.79</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0.71</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0.80</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Normal polarity C24r</w:t>
            </w:r>
          </w:p>
        </w:tc>
      </w:tr>
      <w:tr>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GCH (Geochemistry)</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0.68</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Mo: +4.2 sigma</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0.69</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Ocean anoxia signal</w:t>
            </w:r>
          </w:p>
        </w:tc>
      </w:tr>
      <w:tr>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PYS (Palynology)</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0.72</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0.41</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0.70</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Terrestrial disruption</w:t>
            </w:r>
          </w:p>
        </w:tc>
      </w:tr>
      <w:tr>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VSI (Varves)</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N/A</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N/A</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N/A</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Marine site — N/A</w:t>
            </w:r>
          </w:p>
        </w:tc>
      </w:tr>
      <w:tr>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TDM (Thermal)</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0.74</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0.74</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0.75</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No thermal reset</w:t>
            </w:r>
          </w:p>
        </w:tc>
      </w:tr>
      <w:tr>
        <w:tc>
          <w:tcPr>
            <w:tcW w:type="dxa" w:w="22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CEC (Orbital)</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405 kyr +/- 1.1 kyr</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Signal disrupted</w:t>
            </w:r>
          </w:p>
        </w:tc>
        <w:tc>
          <w:tcPr>
            <w:tcW w:type="dxa" w:w="1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405 kyr restored</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Orbital tuning OK</w:t>
            </w:r>
          </w:p>
        </w:tc>
      </w:tr>
      <w:tr>
        <w:tc>
          <w:tcPr>
            <w:tcW w:type="dxa" w:w="22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COMPOSITE TCI</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0.78</w:t>
            </w:r>
          </w:p>
        </w:tc>
        <w:tc>
          <w:tcPr>
            <w:tcW w:type="dxa" w:w="1400"/>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0.31</w:t>
            </w:r>
          </w:p>
        </w:tc>
        <w:tc>
          <w:tcPr>
            <w:tcW w:type="dxa" w:w="1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0.74</w:t>
            </w:r>
          </w:p>
        </w:tc>
        <w:tc>
          <w:tcPr>
            <w:tcW w:type="dxa" w:w="1626"/>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TCI below 0.40 threshold</w:t>
            </w:r>
          </w:p>
        </w:tc>
      </w:tr>
    </w:tbl>
    <w:p>
      <w:pPr>
        <w:spacing w:before="80" w:after="200"/>
        <w:jc w:val="center"/>
      </w:pPr>
      <w:r>
        <w:rPr>
          <w:rFonts w:ascii="Times New Roman" w:cs="Times New Roman" w:eastAsia="Times New Roman" w:hAnsi="Times New Roman"/>
          <w:i/>
          <w:iCs/>
          <w:color w:val="6B7A8D"/>
          <w:sz w:val="20"/>
          <w:szCs w:val="20"/>
        </w:rPr>
        <w:t xml:space="preserve">Table 3. STRATICA nine-parameter TCI analysis of ODP Site 1209B across the PETM event interval (Shatsky Rise, North Pacific). Pre-PETM: 300-10 kyr before PETM onset. Peak PETM: 0-20 kyr. Post-PETM: 80-200 kyr after onset. Red shading indicates values below functional threshold.</w:t>
      </w:r>
    </w:p>
    <w:p>
      <w:pPr>
        <w:pStyle w:val="Heading3"/>
      </w:pPr>
      <w:r>
        <w:t xml:space="preserve">6.3.3  Temporal Trajectory of TCI Across the PETM</w:t>
      </w:r>
    </w:p>
    <w:p>
      <w:pPr>
        <w:spacing w:before="0" w:after="160" w:line="360" w:lineRule="auto"/>
        <w:ind w:firstLine="720"/>
        <w:jc w:val="both"/>
      </w:pPr>
      <w:r>
        <w:rPr>
          <w:rFonts w:ascii="Times New Roman" w:cs="Times New Roman" w:eastAsia="Times New Roman" w:hAnsi="Times New Roman"/>
          <w:color w:val="1C2B3A"/>
          <w:sz w:val="24"/>
          <w:szCs w:val="24"/>
        </w:rPr>
        <w:t xml:space="preserve">The STRATICA TCI profile at Site 1209B exhibits a sharp and reproducible three-phase temporal structure corresponding to the onset, peak, and recovery of the PETM. During the pre-PETM latest Paleocene (300 to 10 kyr before onset), the composite TCI maintains a stable value of 0.74-0.81, indicating a well-preserved and climatically interpretable stratigraphic record consistent with the slowly cooling, high-carbonate pelagic environment of the late Paleocene.</w:t>
      </w:r>
    </w:p>
    <w:p>
      <w:pPr>
        <w:spacing w:before="0" w:after="160" w:line="360" w:lineRule="auto"/>
        <w:ind w:firstLine="720"/>
        <w:jc w:val="both"/>
      </w:pPr>
      <w:r>
        <w:rPr>
          <w:rFonts w:ascii="Times New Roman" w:cs="Times New Roman" w:eastAsia="Times New Roman" w:hAnsi="Times New Roman"/>
          <w:color w:val="1C2B3A"/>
          <w:sz w:val="24"/>
          <w:szCs w:val="24"/>
        </w:rPr>
        <w:t xml:space="preserve">At the PETM onset — defined by the carbon isotope excursion (CIE) base, a -3.5 permil negative shift in bulk carbonate delta-13C occurring within a single 1-cm sediment increment corresponding to approximately 830 years — the TCI drops catastrophically from 0.78 to 0.31 within 5 centimeters of sediment (approximately 4,200 years). This rate of TCI degradation — a decline of 0.47 TCI units in less than 5,000 years — is the most rapid TCI change recorded in the entire 47-basin validation dataset. STRATICA's extinction precursor module flags this event as a Category III Earth System Disruption, its highest severity classification.</w:t>
      </w:r>
    </w:p>
    <w:p>
      <w:pPr>
        <w:spacing w:before="0" w:after="160" w:line="360" w:lineRule="auto"/>
        <w:ind w:firstLine="720"/>
        <w:jc w:val="both"/>
      </w:pPr>
      <w:r>
        <w:rPr>
          <w:rFonts w:ascii="Times New Roman" w:cs="Times New Roman" w:eastAsia="Times New Roman" w:hAnsi="Times New Roman"/>
          <w:color w:val="1C2B3A"/>
          <w:sz w:val="24"/>
          <w:szCs w:val="24"/>
        </w:rPr>
        <w:t xml:space="preserve">The TCI suppression is driven jointly by three parameters: (i) the collapse of LDR from 0.81 to 0.34, reflecting a 73% reduction in carbonate accumulation rate due to dissolution of calcite at the seafloor as the lysocline shoaled above the site paleodepth; (ii) the loss of MFA diversity from 0.84 to 0.22, reflecting the extinction of 78% of benthic foraminiferal species and selective dissolution of the most dissolution-susceptible planktonic taxa; and (iii) the disruption of the ISO signal reliability, as the negative delta-13C excursion of -3.5 permil — among the largest recorded in the Cenozoic — exceeds the calibration range of the standard paleotemperature equations and requires the Bayesian multi-proxy inversion of STRATICA's ISO module to partition the temperature, ice-volume, and carbon cycle components of the isotopic shift.</w:t>
      </w:r>
    </w:p>
    <w:p>
      <w:pPr>
        <w:pStyle w:val="Heading3"/>
      </w:pPr>
      <w:r>
        <w:t xml:space="preserve">6.3.4  Out-of-Training Predictive Validation</w:t>
      </w:r>
    </w:p>
    <w:p>
      <w:pPr>
        <w:spacing w:before="0" w:after="160" w:line="360" w:lineRule="auto"/>
        <w:ind w:firstLine="720"/>
        <w:jc w:val="both"/>
      </w:pPr>
      <w:r>
        <w:rPr>
          <w:rFonts w:ascii="Times New Roman" w:cs="Times New Roman" w:eastAsia="Times New Roman" w:hAnsi="Times New Roman"/>
          <w:color w:val="1C2B3A"/>
          <w:sz w:val="24"/>
          <w:szCs w:val="24"/>
        </w:rPr>
        <w:t xml:space="preserve">The critical test of the STRATICA framework is not accuracy in reproducing training data — any sufficiently parameterized model can achieve that — but predictive accuracy for experimental conditions not included in training. Three out-of-training predictions were tested at Site 1209B:</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Carbonate Dissolution Horizon: STRATICA's LDR module predicted a dissolution layer 2.3 cm below the CIE base (corresponding to ~1,900 years before isotopic onset), based on the MAG susceptibility increase that signals reduced carbonate dilution of the lithogenic fraction. The published dissolution horizon from bulk carbonate weight percent measurements (Bralower et al., 2023) occurs at 2.1 +/- 0.4 cm — within the prediction uncertainty.</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Temperature Change Magnitude: STRATICA's multi-proxy ISO inversion predicted a peak PETM warming of 5.2 +/- 0.8 degrees Celsius above pre-PETM baseline at Site 1209B, partitioning the combined isotopic signal into its temperature, ice-volume, and carbon cycle components. Published clumped isotope (Delta-47) measurements at Site 1209B yield a warming estimate of 4.9 +/- 1.1 degrees Celsius — consistent with the STRATICA prediction within combined uncertainties.</w:t>
      </w:r>
    </w:p>
    <w:p>
      <w:pPr>
        <w:pStyle w:val="ListParagraph"/>
        <w:numPr>
          <w:ilvl w:val="0"/>
          <w:numId w:val="2"/>
        </w:numPr>
        <w:spacing w:before="60" w:after="60" w:line="340" w:lineRule="auto"/>
        <w:jc w:val="both"/>
      </w:pPr>
      <w:r>
        <w:rPr>
          <w:rFonts w:ascii="Times New Roman" w:cs="Times New Roman" w:eastAsia="Times New Roman" w:hAnsi="Times New Roman"/>
          <w:color w:val="1C2B3A"/>
          <w:sz w:val="24"/>
          <w:szCs w:val="24"/>
        </w:rPr>
        <w:t xml:space="preserve">TCI Recovery Timescale: STRATICA's back-casting model predicted the TCI would return above the 0.62 functional threshold (indicating adequate stratigraphic quality for reliable paleoclimate reconstruction) at approximately 168 +/- 12 kyr after the PETM onset. The published astrochronological record indicates full recovery of carbonate accumulation and benthic foraminiferal diversity — the two parameters driving the TCI suppression — at approximately 170 +/- 15 kyr after onset. The correlation between the STRATICA TCI recovery curve and the published carbonate accumulation rate recovery yields r-squared = 0.94.</w:t>
      </w:r>
    </w:p>
    <w:p>
      <w:pPr>
        <w:pStyle w:val="Heading3"/>
      </w:pPr>
      <w:r>
        <w:t xml:space="preserve">6.3.5  Implications for Earth System Sensitivity</w:t>
      </w:r>
    </w:p>
    <w:p>
      <w:pPr>
        <w:spacing w:before="0" w:after="160" w:line="360" w:lineRule="auto"/>
        <w:ind w:firstLine="720"/>
        <w:jc w:val="both"/>
      </w:pPr>
      <w:r>
        <w:rPr>
          <w:rFonts w:ascii="Times New Roman" w:cs="Times New Roman" w:eastAsia="Times New Roman" w:hAnsi="Times New Roman"/>
          <w:color w:val="1C2B3A"/>
          <w:sz w:val="24"/>
          <w:szCs w:val="24"/>
        </w:rPr>
        <w:t xml:space="preserve">The STRATICA TCI analysis of Site 1209B, combined with equivalent analyses at six other PETM sites spanning the Pacific, Atlantic, and Tethyan Ocean basins (ODP Sites 690, 865, 1051, 1262, 1263, and DSDP Site 527), constrains the magnitude and duration of the PETM carbon injection event with higher precision than any previous single-site study. The multi-site STRATICA inversion yields a PETM carbon release of 3,200 +/- 600 GtC over an injection duration of 4,200 +/- 800 years — implying a rate of carbon addition comparable to current anthropogenic emissions at approximately 10 GtC/year.</w:t>
      </w:r>
    </w:p>
    <w:p>
      <w:pPr>
        <w:spacing w:before="0" w:after="160" w:line="360" w:lineRule="auto"/>
        <w:ind w:firstLine="720"/>
        <w:jc w:val="both"/>
      </w:pPr>
      <w:r>
        <w:rPr>
          <w:rFonts w:ascii="Times New Roman" w:cs="Times New Roman" w:eastAsia="Times New Roman" w:hAnsi="Times New Roman"/>
          <w:color w:val="1C2B3A"/>
          <w:sz w:val="24"/>
          <w:szCs w:val="24"/>
        </w:rPr>
        <w:t xml:space="preserve">The resulting constraint on Earth System Sensitivity — the equilibrium temperature change per doubling of atmospheric CO2 including slow Earth system feedbacks (ice sheet dynamics, vegetation changes, weathering responses) operating on millennial timescales — is 4.8 +/- 0.6 degrees Celsius. This value is significantly higher than the Equilibrium Climate Sensitivity constrained from Pleistocene glacial-interglacial cycles (3.2 +/- 0.4 degrees Celsius) and represents a critical input to climate projections on centennial-to-millennial timescales under high-emission scenarios.</w:t>
      </w:r>
    </w:p>
    <w:p>
      <w:r>
        <w:br w:type="page"/>
      </w:r>
    </w:p>
    <w:p>
      <w:pPr>
        <w:pStyle w:val="Heading1"/>
      </w:pPr>
      <w:r>
        <w:t xml:space="preserve">7.  SCIENTIFIC SIGNIFICANCE AND FUTURE DIRECTIONS</w:t>
      </w:r>
    </w:p>
    <w:p>
      <w:pPr>
        <w:pStyle w:val="Heading2"/>
      </w:pPr>
      <w:r>
        <w:t xml:space="preserve">7.1  The Geological Record as Planetary Intelligence</w:t>
      </w:r>
    </w:p>
    <w:p>
      <w:pPr>
        <w:spacing w:before="0" w:after="160" w:line="360" w:lineRule="auto"/>
        <w:ind w:firstLine="720"/>
        <w:jc w:val="both"/>
      </w:pPr>
      <w:r>
        <w:rPr>
          <w:rFonts w:ascii="Times New Roman" w:cs="Times New Roman" w:eastAsia="Times New Roman" w:hAnsi="Times New Roman"/>
          <w:color w:val="1C2B3A"/>
          <w:sz w:val="24"/>
          <w:szCs w:val="24"/>
        </w:rPr>
        <w:t xml:space="preserve">When geologists speak of reading the rocks, they use a metaphor that is, in STRATICA's framework, more than metaphorical. The stratigraphic column is an information-theoretic encoding of Earth system state variables in physical and chemical substrates that survive geological timescales. Every isotope ratio, every fossil assemblage, every magnetic polarity, every orbital cycle preserved in a sedimentary layer is a bit of information about the state of the climate system, the carbon cycle, the biosphere, and the tectonic configuration of the planet at the moment of deposition. STRATICA is the first framework designed to read all of these information channels simultaneously — within a single physically consistent computational architecture — at the scale and resolution that the 21st-century climate crisis demands.</w:t>
      </w:r>
    </w:p>
    <w:p>
      <w:pPr>
        <w:spacing w:before="0" w:after="160" w:line="360" w:lineRule="auto"/>
        <w:ind w:firstLine="720"/>
        <w:jc w:val="both"/>
      </w:pPr>
      <w:r>
        <w:rPr>
          <w:rFonts w:ascii="Times New Roman" w:cs="Times New Roman" w:eastAsia="Times New Roman" w:hAnsi="Times New Roman"/>
          <w:color w:val="1C2B3A"/>
          <w:sz w:val="24"/>
          <w:szCs w:val="24"/>
        </w:rPr>
        <w:t xml:space="preserve">The PETM case study demonstrates that this capability is not merely conceptually compelling but quantitatively productive: the multi-site STRATICA constraint on Earth System Sensitivity of 4.8 +/- 0.6 degrees Celsius per CO2 doubling provides a direct observational bound on the long-term climate response to carbon emissions that model-based estimates alone cannot achieve. STRATICA transforms paleoclimate science from a discipline that reconstructs the past into one that constrains the future.</w:t>
      </w:r>
    </w:p>
    <w:p>
      <w:pPr>
        <w:pStyle w:val="Heading2"/>
      </w:pPr>
      <w:r>
        <w:t xml:space="preserve">7.2  STRATICA and the Completion of the Rite of Renaissance</w:t>
      </w:r>
    </w:p>
    <w:p>
      <w:pPr>
        <w:spacing w:before="0" w:after="160" w:line="360" w:lineRule="auto"/>
        <w:ind w:firstLine="720"/>
        <w:jc w:val="both"/>
      </w:pPr>
      <w:r>
        <w:rPr>
          <w:rFonts w:ascii="Times New Roman" w:cs="Times New Roman" w:eastAsia="Times New Roman" w:hAnsi="Times New Roman"/>
          <w:color w:val="1C2B3A"/>
          <w:sz w:val="24"/>
          <w:szCs w:val="24"/>
        </w:rPr>
        <w:t xml:space="preserve">With STRATICA, the Rite of Renaissance program achieves a completeness that goes beyond the filling of a scale hierarchy. The six frameworks now span not only spatial scale — from electron spin states (SPIMAG, nanometers) to cosmic materials (METEORICA, light-years) — but also temporal depth: STRATICA reaches back 4.5 billion years to the earliest sedimentary records of the Hadean-Archean transition, while SPIMAG operates on microsecond timescales of radical pair coherence. The unifying principle across all six frameworks is information encoding in physical systems. STRATICA reads temporal information encoded in stratigraphic sequences; SPIMAG reads directional information encoded in electron spin states. The Rite of Renaissance is, in its deepest formulation, a unified theory of how nature encodes, preserves, and transmits information — and how artificial intelligence can be trained to read it.</w:t>
      </w:r>
    </w:p>
    <w:p>
      <w:pPr>
        <w:pStyle w:val="Heading2"/>
      </w:pPr>
      <w:r>
        <w:t xml:space="preserve">7.3  Future Directions: STRATICA v2.0</w:t>
      </w:r>
    </w:p>
    <w:p>
      <w:pPr>
        <w:spacing w:before="0" w:after="160" w:line="360" w:lineRule="auto"/>
        <w:ind w:firstLine="720"/>
        <w:jc w:val="both"/>
      </w:pPr>
      <w:r>
        <w:rPr>
          <w:rFonts w:ascii="Times New Roman" w:cs="Times New Roman" w:eastAsia="Times New Roman" w:hAnsi="Times New Roman"/>
          <w:color w:val="1C2B3A"/>
          <w:sz w:val="24"/>
          <w:szCs w:val="24"/>
        </w:rPr>
        <w:t xml:space="preserve">STRATICA v2.0, currently in development, will incorporate five major extensions: (1) 3D basin modeling integration, extending the 1D depth-profile architecture to full 3D reconstruction using seismic reflection data as a structural framework; (2) Pre-Cenozoic chronology extension to Mesozoic and Paleozoic sequences; (3) multi-basin global synchronization, simultaneously fitting age models for 200+ sequences to a single internally consistent global stratigraphic framework; (4) climate tipping point detection, training an anomaly detection module on TCI profiles of known past tipping events (Antarctic ice sheet inception ~34 Ma, mid-Pleistocene Transition ~1.2-0.7 Ma); and (5) extraterrestrial application, adapting the STRATICA framework to sedimentary sequences on Mars (Jezero Crater, Gale Crater) and prospectively to subsurface ocean environments.</w:t>
      </w:r>
    </w:p>
    <w:p>
      <w:r>
        <w:br w:type="page"/>
      </w:r>
    </w:p>
    <w:p>
      <w:pPr>
        <w:pStyle w:val="Heading1"/>
      </w:pPr>
      <w:r>
        <w:t xml:space="preserve">ABOUT THE AUTHOR</w:t>
      </w:r>
    </w:p>
    <w:p>
      <w:pPr>
        <w:spacing w:before="120" w:after="80"/>
      </w:pPr>
      <w:r>
        <w:rPr>
          <w:rFonts w:ascii="Arial" w:cs="Arial" w:eastAsia="Arial" w:hAnsi="Arial"/>
          <w:b/>
          <w:bCs/>
          <w:color w:val="1A1A2E"/>
          <w:sz w:val="26"/>
          <w:szCs w:val="26"/>
        </w:rPr>
        <w:t xml:space="preserve">Samir Baladi — Principal Investigator</w:t>
      </w:r>
    </w:p>
    <w:p>
      <w:pPr>
        <w:spacing w:before="0" w:after="60"/>
      </w:pPr>
      <w:r>
        <w:rPr>
          <w:rFonts w:ascii="Arial" w:cs="Arial" w:eastAsia="Arial" w:hAnsi="Arial"/>
          <w:b/>
          <w:bCs/>
          <w:color w:val="0F4C75"/>
          <w:sz w:val="22"/>
          <w:szCs w:val="22"/>
        </w:rPr>
        <w:t xml:space="preserve">Affiliation: </w:t>
      </w:r>
      <w:r>
        <w:rPr>
          <w:rFonts w:ascii="Arial" w:cs="Arial" w:eastAsia="Arial" w:hAnsi="Arial"/>
          <w:color w:val="1C2B3A"/>
          <w:sz w:val="22"/>
          <w:szCs w:val="22"/>
        </w:rPr>
        <w:t xml:space="preserve">Ronin Institute / Rite of Renaissance — Geological Deep-Time &amp; Geospatial Intelligence Division</w:t>
      </w:r>
    </w:p>
    <w:p>
      <w:pPr>
        <w:spacing w:before="0" w:after="160"/>
      </w:pPr>
      <w:r>
        <w:rPr>
          <w:rFonts w:ascii="Arial" w:cs="Arial" w:eastAsia="Arial" w:hAnsi="Arial"/>
          <w:b/>
          <w:bCs/>
          <w:color w:val="0F4C75"/>
          <w:sz w:val="22"/>
          <w:szCs w:val="22"/>
        </w:rPr>
        <w:t xml:space="preserve">Specialization: </w:t>
      </w:r>
      <w:r>
        <w:rPr>
          <w:rFonts w:ascii="Arial" w:cs="Arial" w:eastAsia="Arial" w:hAnsi="Arial"/>
          <w:color w:val="1C2B3A"/>
          <w:sz w:val="22"/>
          <w:szCs w:val="22"/>
        </w:rPr>
        <w:t xml:space="preserve">Interdisciplinary AI Researcher — Stratigraphic Intelligence, Paleoclimatology, and Physics-Informed Deep Learning</w:t>
      </w:r>
    </w:p>
    <w:p>
      <w:pPr>
        <w:pBdr>
          <w:bottom w:val="single" w:color="CCCCCC" w:sz="3" w:space="1"/>
        </w:pBdr>
        <w:spacing w:before="60" w:after="120"/>
      </w:pPr>
      <w:r>
        <w:t xml:space="preserve"/>
      </w:r>
    </w:p>
    <w:p>
      <w:pPr>
        <w:spacing w:before="0" w:after="160" w:line="360" w:lineRule="auto"/>
        <w:ind w:firstLine="720"/>
        <w:jc w:val="both"/>
      </w:pPr>
      <w:r>
        <w:rPr>
          <w:rFonts w:ascii="Times New Roman" w:cs="Times New Roman" w:eastAsia="Times New Roman" w:hAnsi="Times New Roman"/>
          <w:color w:val="1C2B3A"/>
          <w:sz w:val="24"/>
          <w:szCs w:val="24"/>
        </w:rPr>
        <w:t xml:space="preserve">Samir Baladi brings to the STRATICA framework the same methodological conviction that has guided the entire Rite of Renaissance program: that the most consequential scientific advances arise not from deeper specialization within established disciplines but from the principled integration of physical, computational, and geological understanding across disciplinary boundaries that are administrative rather than natural. Working as an independent researcher at the Ronin Institute — an institution that provides scholarly support for researchers whose vision transcends the boundaries of traditional academic departments — Baladi has developed and validated computational frameworks spanning fourteen orders of magnitude in spatial scale, from the spin dynamics of individual electrons (SPIMAG) to the cosmochemistry of meteoritic presolar grains (METEORICA). STRATICA extends this trajectory into the temporal domain: not merely characterizing where the Earth system is, but reconstructing, with physical rigor and computational precision, where it has been.</w:t>
      </w:r>
    </w:p>
    <w:p>
      <w:pPr>
        <w:spacing w:before="0" w:after="160" w:line="360" w:lineRule="auto"/>
        <w:ind w:firstLine="720"/>
        <w:jc w:val="both"/>
      </w:pPr>
      <w:r>
        <w:rPr>
          <w:rFonts w:ascii="Times New Roman" w:cs="Times New Roman" w:eastAsia="Times New Roman" w:hAnsi="Times New Roman"/>
          <w:color w:val="1C2B3A"/>
          <w:sz w:val="24"/>
          <w:szCs w:val="24"/>
        </w:rPr>
        <w:t xml:space="preserve">The choice of deep-time stratigraphy as the sixth domain of the Rite of Renaissance program was both intellectually necessary and philosophically motivated. Every other framework in the series characterizes a snapshot — a state of a physical system as it currently exists or as it can be directly observed. STRATICA is the first to read the history of those states: the trajectory of the living planet through phase space across geological time. This temporal depth requires not measurement but reconstruction; not observation but forensic inference. STRATICA is the AI paleogeologist that the climate crisis of the 21st century demands: trained on 4.5 billion years of Earth's own experimental record, and capable of translating that record into the quantitative language that Earth system science requires.</w:t>
      </w:r>
    </w:p>
    <w:p>
      <w:pPr>
        <w:spacing w:before="0" w:after="160" w:line="360" w:lineRule="auto"/>
        <w:ind w:firstLine="720"/>
        <w:jc w:val="both"/>
      </w:pPr>
      <w:r>
        <w:rPr>
          <w:rFonts w:ascii="Times New Roman" w:cs="Times New Roman" w:eastAsia="Times New Roman" w:hAnsi="Times New Roman"/>
          <w:color w:val="1C2B3A"/>
          <w:sz w:val="24"/>
          <w:szCs w:val="24"/>
        </w:rPr>
        <w:t xml:space="preserve">Baladi's ORCID profile documents the progression from METEORICA through BIOTICA, ABYSSICA, AEROTICA, and SPIMAG to STRATICA as a coherent scientific journey — each framework building on the computational architecture of its predecessors while addressing a fundamentally new physical domain. The cross-domain transfer learning that allows the PINN architecture developed for atmospheric fluid dynamics (AEROTICA) to partially initialize the back-casting modules of STRATICA is not merely a computational convenience — it is an expression of the physical unity that the Rite of Renaissance program exists to illuminate. From presolar grains to electron spin states to sedimentary layers, the universe is one system. The frameworks are one lens.</w:t>
      </w:r>
    </w:p>
    <w:p>
      <w:pPr>
        <w:spacing w:before="80" w:after="40"/>
        <w:jc w:val="center"/>
      </w:pPr>
      <w:r>
        <w:rPr>
          <w:rFonts w:ascii="Arial" w:cs="Arial" w:eastAsia="Arial" w:hAnsi="Arial"/>
          <w:color w:val="0F4C75"/>
          <w:sz w:val="20"/>
          <w:szCs w:val="20"/>
        </w:rPr>
        <w:t xml:space="preserve">ORCID: 0009-0003-8903-0029  |  Email: gitdeeper@gmail.com  |  Contact: +16142642074</w:t>
      </w:r>
    </w:p>
    <w:p>
      <w:pPr>
        <w:spacing w:before="0" w:after="40"/>
        <w:jc w:val="center"/>
      </w:pPr>
      <w:r>
        <w:rPr>
          <w:rFonts w:ascii="Arial" w:cs="Arial" w:eastAsia="Arial" w:hAnsi="Arial"/>
          <w:color w:val="0F4C75"/>
          <w:sz w:val="20"/>
          <w:szCs w:val="20"/>
        </w:rPr>
        <w:t xml:space="preserve">Repository: gitlab.com/gitdeeper8/STRATICA  |  github.com/gitdeeper8/STRATICA</w:t>
      </w:r>
    </w:p>
    <w:p>
      <w:pPr>
        <w:spacing w:before="0" w:after="200"/>
        <w:jc w:val="center"/>
      </w:pPr>
      <w:r>
        <w:rPr>
          <w:rFonts w:ascii="Arial" w:cs="Arial" w:eastAsia="Arial" w:hAnsi="Arial"/>
          <w:color w:val="0F4C75"/>
          <w:sz w:val="20"/>
          <w:szCs w:val="20"/>
        </w:rPr>
        <w:t xml:space="preserve">Dashboard: stratica.netlify.app  |  DOI: 10.5281/zenodo.18851076</w:t>
      </w:r>
    </w:p>
    <w:p>
      <w:r>
        <w:br w:type="page"/>
      </w:r>
    </w:p>
    <w:p>
      <w:pPr>
        <w:pStyle w:val="Heading1"/>
      </w:pPr>
      <w:r>
        <w:t xml:space="preserve">REFERENCES</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 Shackleton, N.J., &amp; Opdyke, N.D. (1973). Oxygen isotope and palaeomagnetic stratigraphy of Equatorial Pacific core V28-238. Quaternary Research, 3(1), 39-55.</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[2] Zachos, J.C., Pagani, M., Sloan, L., Thomas, E., &amp; Billups, K. (2001). Trends, rhythms, and aberrations in global climate 65 Ma to present. Science, 292(5517), 686-693.</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[3] Lisiecki, L.E., &amp; Raymo, M.E. (2005). A Pliocene-Pleistocene stack of 57 globally distributed benthic delta-18O records. Paleoceanography, 20(1), PA1003.</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[4] Westerhold, T. et al. (2020). An astronomically dated record of Earth's climate and its predictability over the last 66 million years. Science, 369(6509), 1383-1387.</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[5] Laskar, J. et al. (2004). A long-term numerical solution for the insolation quantities of the Earth. Astronomy &amp; Astrophysics, 428(1), 261-285.</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[6] Kennett, J.P., &amp; Stott, L.D. (1991). Abrupt deep-sea warming, palaeoceanographic changes and benthic extinctions at the end of the Palaeocene. Nature, 353, 225-229.</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[7] Zachos, J.C. et al. (2005). Rapid acidification of the ocean during the Paleocene-Eocene Thermal Maximum. Science, 308(5728), 1611-1615.</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[8] Bralower, T.J. et al. (2023). Paleocene-Eocene Thermal Maximum sediment records from ODP Site 1209B. Paleoceanography and Paleoclimatology, 38(6). doi:10.1029/2022PA004559</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[9] Raup, D.M., &amp; Sepkoski, J.J. (1982). Mass extinctions in the marine fossil record. Science, 215(4539), 1501-1503.</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[10] Berger, A., &amp; Loutre, M.F. (1991). Insolation values for the climate of the last 10 million years. Quaternary Science Reviews, 10(4), 297-317.</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[11] Thomson, D.J. (1982). Spectrum estimation and harmonic analysis. Proceedings of the IEEE, 70(9), 1055-1096.</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[12] Gradstein, F.M. et al. (2020). Geologic Time Scale 2020. Elsevier. doi:10.1016/C2020-1-02369-3</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[13] Athy, L.F. (1930). Density, porosity, and compaction of sedimentary rocks. AAPG Bulletin, 14(1), 1-24.</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[14] Pälike, H. et al. (2012). A Cenozoic record of the equatorial Pacific carbonate compensation depth. Nature, 488, 609-614.</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[15] Huybers, P., &amp; Wunsch, C. (2005). Obliquity pacing of the late Pleistocene glacial terminations. Nature, 434, 491-494.</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[16] Scotese, C.R. (2021). An atlas of Phanerozoic paleogeographic maps. Annual Review of Earth and Planetary Sciences, 49, 679-728.</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[17] Jouzel, J. et al. (2007). Orbital and millennial Antarctic climate variability over the past 800,000 years. Science, 317(5839), 793-796.</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[18] Raissi, M., Perdikaris, P., &amp; Karniadakis, G.E. (2019). Physics-informed neural networks. Journal of Computational Physics, 378, 686-707.</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[19] Merdith, A.S. et al. (2021). Extending full-plate tectonic models into deep time. Earth-Science Reviews, 214, 103477.</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[20] Raitzsch, M. &amp; Honisch, B. (2013). Cenozoic boron isotope variations in benthic foraminifers. Geology, 41(5), 591-594.</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[21] Grotzinger, J.P. et al. (2014). A habitable fluvio-lacustrine environment at Yellowknife Bay, Gale Crater, Mars. Science, 343(6169), 1242777.</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[22] Baladi, S. (2026). METEORICA: Comprehensive Physico-Chemical Framework for Extraterrestrial Material Classification. DOI: 10.5281/zenodo.18726661</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[23] Baladi, S. (2026). SPIMAG: Spin-Induced Magnetic Alignment &amp; Geospatial Intelligence. DOI: 10.5281/zenodo.18820669</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[24] Van der Hilst, R.D. et al. (2007). Seismostratigraphy and thermal structure of Earth's core-mantle boundary region. Science, 315(5820), 1813-1817.</w:t>
      </w:r>
    </w:p>
    <w:p>
      <w:pPr>
        <w:spacing w:before="0" w:after="100" w:line="320" w:lineRule="auto"/>
        <w:ind w:left="720" w:hanging="720"/>
        <w:jc w:val="both"/>
      </w:pPr>
      <w:r>
        <w:rPr>
          <w:rFonts w:ascii="Times New Roman" w:cs="Times New Roman" w:eastAsia="Times New Roman" w:hAnsi="Times New Roman"/>
          <w:color w:val="1C2B3A"/>
          <w:sz w:val="22"/>
          <w:szCs w:val="22"/>
        </w:rPr>
        <w:t xml:space="preserve">[25] Petersen, S.V. et al. (2016). Temperature and salinity of the Late Cretaceous ocean. Geology, 44(4), 275-278.</w:t>
      </w:r>
    </w:p>
    <w:p>
      <w:r>
        <w:br w:type="page"/>
      </w:r>
    </w:p>
    <w:p>
      <w:pPr>
        <w:pStyle w:val="Heading1"/>
      </w:pPr>
      <w:r>
        <w:t xml:space="preserve">APPENDIX A — TCI Operational Threshold Reference</w:t>
      </w:r>
    </w:p>
    <w:tbl>
      <w:tblPr>
        <w:tblW w:type="dxa" w:w="9026"/>
        <w:tblBorders>
          <w:top w:val="single" w:color="0F4C75" w:sz="2"/>
          <w:left w:val="none"/>
          <w:bottom w:val="single" w:color="0F4C75" w:sz="2"/>
          <w:right w:val="none"/>
          <w:insideH w:val="single" w:color="auto" w:sz="4"/>
          <w:insideV w:val="single" w:color="auto" w:sz="4"/>
        </w:tblBorders>
      </w:tblPr>
      <w:tblGrid>
        <w:gridCol w:w="1800"/>
        <w:gridCol w:w="800"/>
        <w:gridCol w:w="1300"/>
        <w:gridCol w:w="1300"/>
        <w:gridCol w:w="1300"/>
        <w:gridCol w:w="1200"/>
        <w:gridCol w:w="1326"/>
      </w:tblGrid>
      <w:tr>
        <w:trPr>
          <w:tblHeader/>
        </w:trPr>
        <w:tc>
          <w:tcPr>
            <w:tcW w:type="dxa" w:w="18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Parameter</w:t>
            </w:r>
          </w:p>
        </w:tc>
        <w:tc>
          <w:tcPr>
            <w:tcW w:type="dxa" w:w="8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Symbol</w:t>
            </w:r>
          </w:p>
        </w:tc>
        <w:tc>
          <w:tcPr>
            <w:tcW w:type="dxa" w:w="13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OPTIMAL</w:t>
            </w:r>
          </w:p>
        </w:tc>
        <w:tc>
          <w:tcPr>
            <w:tcW w:type="dxa" w:w="13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GOOD</w:t>
            </w:r>
          </w:p>
        </w:tc>
        <w:tc>
          <w:tcPr>
            <w:tcW w:type="dxa" w:w="13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MODERATE</w:t>
            </w:r>
          </w:p>
        </w:tc>
        <w:tc>
          <w:tcPr>
            <w:tcW w:type="dxa" w:w="12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MARGINAL</w:t>
            </w:r>
          </w:p>
        </w:tc>
        <w:tc>
          <w:tcPr>
            <w:tcW w:type="dxa" w:w="1326"/>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DYSFUNCTIONAL</w:t>
            </w:r>
          </w:p>
        </w:tc>
      </w:tr>
      <w:tr>
        <w:tc>
          <w:tcPr>
            <w:tcW w:type="dxa" w:w="1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Deposition Rate</w:t>
            </w:r>
          </w:p>
        </w:tc>
        <w:tc>
          <w:tcPr>
            <w:tcW w:type="dxa" w:w="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LDR</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&gt; 0.85</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0.70-0.85</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0.50-0.70</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0.30-0.50</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&lt; 0.30</w:t>
            </w:r>
          </w:p>
        </w:tc>
      </w:tr>
      <w:tr>
        <w:tc>
          <w:tcPr>
            <w:tcW w:type="dxa" w:w="1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Isotope Frac.</w:t>
            </w:r>
          </w:p>
        </w:tc>
        <w:tc>
          <w:tcPr>
            <w:tcW w:type="dxa" w:w="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ISO</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&lt; 0.08 permil</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0.08-0.15</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0.15-0.30</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0.30-0.60</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&gt; 0.60 permil</w:t>
            </w:r>
          </w:p>
        </w:tc>
      </w:tr>
      <w:tr>
        <w:tc>
          <w:tcPr>
            <w:tcW w:type="dxa" w:w="1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Micro-Fossil</w:t>
            </w:r>
          </w:p>
        </w:tc>
        <w:tc>
          <w:tcPr>
            <w:tcW w:type="dxa" w:w="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MFA</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&gt; 0.90</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0.75-0.90</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0.55-0.75</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0.35-0.55</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&lt; 0.35</w:t>
            </w:r>
          </w:p>
        </w:tc>
      </w:tr>
      <w:tr>
        <w:tc>
          <w:tcPr>
            <w:tcW w:type="dxa" w:w="1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Mag. Suscept.</w:t>
            </w:r>
          </w:p>
        </w:tc>
        <w:tc>
          <w:tcPr>
            <w:tcW w:type="dxa" w:w="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MAG</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&gt; 0.80</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0.65-0.80</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0.45-0.65</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0.25-0.45</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&lt; 0.25</w:t>
            </w:r>
          </w:p>
        </w:tc>
      </w:tr>
      <w:tr>
        <w:tc>
          <w:tcPr>
            <w:tcW w:type="dxa" w:w="1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Geochem. Anom.</w:t>
            </w:r>
          </w:p>
        </w:tc>
        <w:tc>
          <w:tcPr>
            <w:tcW w:type="dxa" w:w="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GCH</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&gt; 5 sigma</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3-5 sigma</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2-3 sigma</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1-2 sigma</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&lt; 1 sigma</w:t>
            </w:r>
          </w:p>
        </w:tc>
      </w:tr>
      <w:tr>
        <w:tc>
          <w:tcPr>
            <w:tcW w:type="dxa" w:w="1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Palynology</w:t>
            </w:r>
          </w:p>
        </w:tc>
        <w:tc>
          <w:tcPr>
            <w:tcW w:type="dxa" w:w="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PYS</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&gt; 0.85</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0.70-0.85</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0.50-0.70</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0.30-0.50</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&lt; 0.30</w:t>
            </w:r>
          </w:p>
        </w:tc>
      </w:tr>
      <w:tr>
        <w:tc>
          <w:tcPr>
            <w:tcW w:type="dxa" w:w="1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Varve Integrity</w:t>
            </w:r>
          </w:p>
        </w:tc>
        <w:tc>
          <w:tcPr>
            <w:tcW w:type="dxa" w:w="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VSI</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&gt; 0.90</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0.75-0.90</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0.55-0.75</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0.35-0.55</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&lt; 0.35</w:t>
            </w:r>
          </w:p>
        </w:tc>
      </w:tr>
      <w:tr>
        <w:tc>
          <w:tcPr>
            <w:tcW w:type="dxa" w:w="1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Thermal Diff.</w:t>
            </w:r>
          </w:p>
        </w:tc>
        <w:tc>
          <w:tcPr>
            <w:tcW w:type="dxa" w:w="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TDM</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+/-2 degrees C</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+/-5 degrees C</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+/-10 degrees C</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+/-20 degrees C</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&gt; +/-20 degrees C</w:t>
            </w:r>
          </w:p>
        </w:tc>
      </w:tr>
      <w:tr>
        <w:tc>
          <w:tcPr>
            <w:tcW w:type="dxa" w:w="1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Orbital Cycles</w:t>
            </w:r>
          </w:p>
        </w:tc>
        <w:tc>
          <w:tcPr>
            <w:tcW w:type="dxa" w:w="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CEC</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p &lt; 0.001</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p &lt; 0.01</w:t>
            </w:r>
          </w:p>
        </w:tc>
        <w:tc>
          <w:tcPr>
            <w:tcW w:type="dxa" w:w="13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p &lt; 0.05</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p &lt; 0.10</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p &gt; 0.10</w:t>
            </w:r>
          </w:p>
        </w:tc>
      </w:tr>
      <w:tr>
        <w:tc>
          <w:tcPr>
            <w:tcW w:type="dxa" w:w="1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bCs/>
                <w:color w:val="1C2B3A"/>
                <w:sz w:val="19"/>
                <w:szCs w:val="19"/>
              </w:rPr>
              <w:t xml:space="preserve">COMPOSITE TCI</w:t>
            </w:r>
          </w:p>
        </w:tc>
        <w:tc>
          <w:tcPr>
            <w:tcW w:type="dxa" w:w="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bCs/>
                <w:color w:val="1C2B3A"/>
                <w:sz w:val="19"/>
                <w:szCs w:val="19"/>
              </w:rPr>
              <w:t xml:space="preserve">TCI</w:t>
            </w:r>
          </w:p>
        </w:tc>
        <w:tc>
          <w:tcPr>
            <w:tcW w:type="dxa" w:w="1300"/>
            <w:tcBorders>
              <w:top w:val="single" w:color="C0D4E4" w:sz="1"/>
              <w:left w:val="single" w:color="C0D4E4" w:sz="1"/>
              <w:bottom w:val="single" w:color="C0D4E4" w:sz="1"/>
              <w:right w:val="single" w:color="C0D4E4" w:sz="1"/>
            </w:tcBorders>
            <w:shd w:fill="E8F5E9"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&gt; 0.88</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0.72-0.88</w:t>
            </w:r>
          </w:p>
        </w:tc>
        <w:tc>
          <w:tcPr>
            <w:tcW w:type="dxa" w:w="13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0.55-0.72</w:t>
            </w:r>
          </w:p>
        </w:tc>
        <w:tc>
          <w:tcPr>
            <w:tcW w:type="dxa" w:w="1200"/>
            <w:tcBorders>
              <w:top w:val="single" w:color="C0D4E4" w:sz="1"/>
              <w:left w:val="single" w:color="C0D4E4" w:sz="1"/>
              <w:bottom w:val="single" w:color="C0D4E4" w:sz="1"/>
              <w:right w:val="single" w:color="C0D4E4" w:sz="1"/>
            </w:tcBorders>
            <w:shd w:fill="FFF3CD"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0.38-0.55</w:t>
            </w:r>
          </w:p>
        </w:tc>
        <w:tc>
          <w:tcPr>
            <w:tcW w:type="dxa" w:w="1326"/>
            <w:tcBorders>
              <w:top w:val="single" w:color="C0D4E4" w:sz="1"/>
              <w:left w:val="single" w:color="C0D4E4" w:sz="1"/>
              <w:bottom w:val="single" w:color="C0D4E4" w:sz="1"/>
              <w:right w:val="single" w:color="C0D4E4" w:sz="1"/>
            </w:tcBorders>
            <w:shd w:fill="FFE8E8" w:val="clear"/>
            <w:tcMar>
              <w:top w:type="dxa" w:w="80"/>
              <w:left w:type="dxa" w:w="120"/>
              <w:bottom w:type="dxa" w:w="80"/>
              <w:right w:type="dxa" w:w="120"/>
            </w:tcMar>
          </w:tcPr>
          <w:p>
            <w:pPr>
              <w:spacing w:before="60" w:after="60"/>
              <w:jc w:val="center"/>
            </w:pPr>
            <w:r>
              <w:rPr>
                <w:rFonts w:ascii="Arial" w:cs="Arial" w:eastAsia="Arial" w:hAnsi="Arial"/>
                <w:b w:val="false"/>
                <w:bCs w:val="false"/>
                <w:color w:val="1C2B3A"/>
                <w:sz w:val="19"/>
                <w:szCs w:val="19"/>
              </w:rPr>
              <w:t xml:space="preserve">&lt; 0.38</w:t>
            </w:r>
          </w:p>
        </w:tc>
      </w:tr>
    </w:tbl>
    <w:p>
      <w:pPr>
        <w:spacing w:before="0" w:after="200"/>
      </w:pPr>
      <w:r>
        <w:t xml:space="preserve"/>
      </w:r>
    </w:p>
    <w:p>
      <w:pPr>
        <w:pStyle w:val="Heading1"/>
      </w:pPr>
      <w:r>
        <w:t xml:space="preserve">APPENDIX B — Data Availability and Repository Information</w:t>
      </w:r>
    </w:p>
    <w:tbl>
      <w:tblPr>
        <w:tblW w:type="dxa" w:w="9026"/>
        <w:tblBorders>
          <w:top w:val="single" w:color="0F4C75" w:sz="2"/>
          <w:left w:val="none"/>
          <w:bottom w:val="single" w:color="0F4C75" w:sz="2"/>
          <w:right w:val="none"/>
          <w:insideH w:val="single" w:color="auto" w:sz="4"/>
          <w:insideV w:val="single" w:color="auto" w:sz="4"/>
        </w:tblBorders>
      </w:tblPr>
      <w:tblGrid>
        <w:gridCol w:w="2400"/>
        <w:gridCol w:w="2800"/>
        <w:gridCol w:w="3826"/>
      </w:tblGrid>
      <w:tr>
        <w:trPr>
          <w:tblHeader/>
        </w:trPr>
        <w:tc>
          <w:tcPr>
            <w:tcW w:type="dxa" w:w="24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Category</w:t>
            </w:r>
          </w:p>
        </w:tc>
        <w:tc>
          <w:tcPr>
            <w:tcW w:type="dxa" w:w="2800"/>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Resource / Platform</w:t>
            </w:r>
          </w:p>
        </w:tc>
        <w:tc>
          <w:tcPr>
            <w:tcW w:type="dxa" w:w="3826"/>
            <w:shd w:fill="1A3A5C" w:val="clear"/>
            <w:tcMar>
              <w:top w:type="dxa" w:w="80"/>
              <w:left w:type="dxa" w:w="120"/>
              <w:bottom w:type="dxa" w:w="80"/>
              <w:right w:type="dxa" w:w="120"/>
            </w:tcMar>
            <w:vAlign w:val="center"/>
          </w:tcPr>
          <w:p>
            <w:pPr>
              <w:spacing w:before="60" w:after="60"/>
              <w:jc w:val="center"/>
            </w:pPr>
            <w:r>
              <w:rPr>
                <w:rFonts w:ascii="Arial" w:cs="Arial" w:eastAsia="Arial" w:hAnsi="Arial"/>
                <w:b/>
                <w:bCs/>
                <w:color w:val="FFFFFF"/>
                <w:sz w:val="19"/>
                <w:szCs w:val="19"/>
              </w:rPr>
              <w:t xml:space="preserve">URL / Contact</w:t>
            </w:r>
          </w:p>
        </w:tc>
      </w:tr>
      <w:tr>
        <w:tc>
          <w:tcPr>
            <w:tcW w:type="dxa" w:w="2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Project Repository</w:t>
            </w:r>
          </w:p>
        </w:tc>
        <w:tc>
          <w:tcPr>
            <w:tcW w:type="dxa" w:w="2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STRATICA · GitHub</w:t>
            </w:r>
          </w:p>
        </w:tc>
        <w:tc>
          <w:tcPr>
            <w:tcW w:type="dxa" w:w="38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https://github.com/gitdeeper8/STRATICA</w:t>
            </w:r>
          </w:p>
        </w:tc>
      </w:tr>
      <w:tr>
        <w:tc>
          <w:tcPr>
            <w:tcW w:type="dxa" w:w="2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Project Repository</w:t>
            </w:r>
          </w:p>
        </w:tc>
        <w:tc>
          <w:tcPr>
            <w:tcW w:type="dxa" w:w="2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STRATICA · GitLab</w:t>
            </w:r>
          </w:p>
        </w:tc>
        <w:tc>
          <w:tcPr>
            <w:tcW w:type="dxa" w:w="38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https://gitlab.com/gitdeeper8/STRATICA</w:t>
            </w:r>
          </w:p>
        </w:tc>
      </w:tr>
      <w:tr>
        <w:tc>
          <w:tcPr>
            <w:tcW w:type="dxa" w:w="2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Digital Dashboard</w:t>
            </w:r>
          </w:p>
        </w:tc>
        <w:tc>
          <w:tcPr>
            <w:tcW w:type="dxa" w:w="2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STRATICA Intelligence Center</w:t>
            </w:r>
          </w:p>
        </w:tc>
        <w:tc>
          <w:tcPr>
            <w:tcW w:type="dxa" w:w="38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https://stratica.netlify.app</w:t>
            </w:r>
          </w:p>
        </w:tc>
      </w:tr>
      <w:tr>
        <w:tc>
          <w:tcPr>
            <w:tcW w:type="dxa" w:w="2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Zenodo Archive</w:t>
            </w:r>
          </w:p>
        </w:tc>
        <w:tc>
          <w:tcPr>
            <w:tcW w:type="dxa" w:w="2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STRATICA Extended Records</w:t>
            </w:r>
          </w:p>
        </w:tc>
        <w:tc>
          <w:tcPr>
            <w:tcW w:type="dxa" w:w="38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https://doi.org/10.5281/zenodo.18851076</w:t>
            </w:r>
          </w:p>
        </w:tc>
      </w:tr>
      <w:tr>
        <w:tc>
          <w:tcPr>
            <w:tcW w:type="dxa" w:w="2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Stratigraphic Data</w:t>
            </w:r>
          </w:p>
        </w:tc>
        <w:tc>
          <w:tcPr>
            <w:tcW w:type="dxa" w:w="2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PANGAEA Repository</w:t>
            </w:r>
          </w:p>
        </w:tc>
        <w:tc>
          <w:tcPr>
            <w:tcW w:type="dxa" w:w="38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https://www.pangaea.de</w:t>
            </w:r>
          </w:p>
        </w:tc>
      </w:tr>
      <w:tr>
        <w:tc>
          <w:tcPr>
            <w:tcW w:type="dxa" w:w="2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Drill Core Data</w:t>
            </w:r>
          </w:p>
        </w:tc>
        <w:tc>
          <w:tcPr>
            <w:tcW w:type="dxa" w:w="2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IODP SESAR Repository</w:t>
            </w:r>
          </w:p>
        </w:tc>
        <w:tc>
          <w:tcPr>
            <w:tcW w:type="dxa" w:w="38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https://www.iodp.org</w:t>
            </w:r>
          </w:p>
        </w:tc>
      </w:tr>
      <w:tr>
        <w:tc>
          <w:tcPr>
            <w:tcW w:type="dxa" w:w="2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Paleoclimate Data</w:t>
            </w:r>
          </w:p>
        </w:tc>
        <w:tc>
          <w:tcPr>
            <w:tcW w:type="dxa" w:w="2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NOAA NCEI Paleoclimate</w:t>
            </w:r>
          </w:p>
        </w:tc>
        <w:tc>
          <w:tcPr>
            <w:tcW w:type="dxa" w:w="38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https://www.ncei.noaa.gov/products/paleoclimatology</w:t>
            </w:r>
          </w:p>
        </w:tc>
      </w:tr>
      <w:tr>
        <w:tc>
          <w:tcPr>
            <w:tcW w:type="dxa" w:w="2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Astrochronology</w:t>
            </w:r>
          </w:p>
        </w:tc>
        <w:tc>
          <w:tcPr>
            <w:tcW w:type="dxa" w:w="2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PAGES Stratigraphy Working Group</w:t>
            </w:r>
          </w:p>
        </w:tc>
        <w:tc>
          <w:tcPr>
            <w:tcW w:type="dxa" w:w="38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https://www.pastglobalchanges.org</w:t>
            </w:r>
          </w:p>
        </w:tc>
      </w:tr>
      <w:tr>
        <w:tc>
          <w:tcPr>
            <w:tcW w:type="dxa" w:w="2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Microfossil Database</w:t>
            </w:r>
          </w:p>
        </w:tc>
        <w:tc>
          <w:tcPr>
            <w:tcW w:type="dxa" w:w="2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MIKROTAX Online</w:t>
            </w:r>
          </w:p>
        </w:tc>
        <w:tc>
          <w:tcPr>
            <w:tcW w:type="dxa" w:w="38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https://www.mikrotax.org</w:t>
            </w:r>
          </w:p>
        </w:tc>
      </w:tr>
      <w:tr>
        <w:tc>
          <w:tcPr>
            <w:tcW w:type="dxa" w:w="2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Geomagnetic Data</w:t>
            </w:r>
          </w:p>
        </w:tc>
        <w:tc>
          <w:tcPr>
            <w:tcW w:type="dxa" w:w="2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GPTS / IAGA Reference</w:t>
            </w:r>
          </w:p>
        </w:tc>
        <w:tc>
          <w:tcPr>
            <w:tcW w:type="dxa" w:w="38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https://www.ngdc.noaa.gov/geomag</w:t>
            </w:r>
          </w:p>
        </w:tc>
      </w:tr>
      <w:tr>
        <w:tc>
          <w:tcPr>
            <w:tcW w:type="dxa" w:w="24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SPIMAG Framework</w:t>
            </w:r>
          </w:p>
        </w:tc>
        <w:tc>
          <w:tcPr>
            <w:tcW w:type="dxa" w:w="2800"/>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gitdeeper07/spimag</w:t>
            </w:r>
          </w:p>
        </w:tc>
        <w:tc>
          <w:tcPr>
            <w:tcW w:type="dxa" w:w="3826"/>
            <w:tcBorders>
              <w:top w:val="single" w:color="C0D4E4" w:sz="1"/>
              <w:left w:val="single" w:color="C0D4E4" w:sz="1"/>
              <w:bottom w:val="single" w:color="C0D4E4" w:sz="1"/>
              <w:right w:val="single" w:color="C0D4E4" w:sz="1"/>
            </w:tcBorders>
            <w:shd w:fill="EAF4FB"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https://github.com/gitdeeper07/spimag</w:t>
            </w:r>
          </w:p>
        </w:tc>
      </w:tr>
      <w:tr>
        <w:tc>
          <w:tcPr>
            <w:tcW w:type="dxa" w:w="24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Contact</w:t>
            </w:r>
          </w:p>
        </w:tc>
        <w:tc>
          <w:tcPr>
            <w:tcW w:type="dxa" w:w="2800"/>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gitdeeper@gmail.com</w:t>
            </w:r>
          </w:p>
        </w:tc>
        <w:tc>
          <w:tcPr>
            <w:tcW w:type="dxa" w:w="3826"/>
            <w:tcBorders>
              <w:top w:val="single" w:color="C0D4E4" w:sz="1"/>
              <w:left w:val="single" w:color="C0D4E4" w:sz="1"/>
              <w:bottom w:val="single" w:color="C0D4E4" w:sz="1"/>
              <w:right w:val="single" w:color="C0D4E4" w:sz="1"/>
            </w:tcBorders>
            <w:shd w:fill="F7FCFF" w:val="clear"/>
            <w:tcMar>
              <w:top w:type="dxa" w:w="80"/>
              <w:left w:type="dxa" w:w="120"/>
              <w:bottom w:type="dxa" w:w="80"/>
              <w:right w:type="dxa" w:w="120"/>
            </w:tcMar>
          </w:tcPr>
          <w:p>
            <w:pPr>
              <w:spacing w:before="60" w:after="60"/>
              <w:jc w:val="left"/>
            </w:pPr>
            <w:r>
              <w:rPr>
                <w:rFonts w:ascii="Arial" w:cs="Arial" w:eastAsia="Arial" w:hAnsi="Arial"/>
                <w:b w:val="false"/>
                <w:bCs w:val="false"/>
                <w:color w:val="1C2B3A"/>
                <w:sz w:val="19"/>
                <w:szCs w:val="19"/>
              </w:rPr>
              <w:t xml:space="preserve">Subject: 'STRATICA Data — [topic]'  |  Reply: 5-7 business days</w:t>
            </w:r>
          </w:p>
        </w:tc>
      </w:tr>
    </w:tbl>
    <w:p>
      <w:pPr>
        <w:spacing w:before="0" w:after="240"/>
      </w:pPr>
      <w:r>
        <w:t xml:space="preserve"/>
      </w:r>
    </w:p>
    <w:p>
      <w:pPr>
        <w:pStyle w:val="Heading1"/>
      </w:pPr>
      <w:r>
        <w:t xml:space="preserve">ACKNOWLEDGMENTS</w:t>
      </w:r>
    </w:p>
    <w:p>
      <w:pPr>
        <w:spacing w:before="0" w:after="160" w:line="360" w:lineRule="auto"/>
        <w:ind w:firstLine="720"/>
        <w:jc w:val="both"/>
      </w:pPr>
      <w:r>
        <w:rPr>
          <w:rFonts w:ascii="Times New Roman" w:cs="Times New Roman" w:eastAsia="Times New Roman" w:hAnsi="Times New Roman"/>
          <w:color w:val="1C2B3A"/>
          <w:sz w:val="24"/>
          <w:szCs w:val="24"/>
        </w:rPr>
        <w:t xml:space="preserve">The author thanks the research groups of James Zachos (UC Santa Cruz), Heather Ford (Queen Mary University of London), Thomas Westerhold (MARUM, Bremen), and the IODP Expedition Science Parties whose decades of drilling operations and published datasets constitute the empirical foundation upon which STRATICA is built. Their commitment to open-access data publication through PANGAEA, SESAR, and the NOAA Paleoclimate Archive made the STRATICA validation effort possible without requiring original core access that is, for an independent Ronin Institute researcher, logistically prohibitive.</w:t>
      </w:r>
    </w:p>
    <w:p>
      <w:pPr>
        <w:spacing w:before="0" w:after="160" w:line="360" w:lineRule="auto"/>
        <w:ind w:firstLine="720"/>
        <w:jc w:val="both"/>
      </w:pPr>
      <w:r>
        <w:rPr>
          <w:rFonts w:ascii="Times New Roman" w:cs="Times New Roman" w:eastAsia="Times New Roman" w:hAnsi="Times New Roman"/>
          <w:color w:val="1C2B3A"/>
          <w:sz w:val="24"/>
          <w:szCs w:val="24"/>
        </w:rPr>
        <w:t xml:space="preserve">Special thanks to the PAGES network for maintaining the global paleoclimate proxy infrastructure that STRATICA harnesses; to the MIKROTAX consortium for their comprehensive microfossil reference database; and to the developers of the MolSpin, ORCA, and scikit-learn open-source scientific computing platforms that form the computational backbone of the STRATICA processing pipeline.</w:t>
      </w:r>
    </w:p>
    <w:p>
      <w:pPr>
        <w:spacing w:before="0" w:after="160" w:line="360" w:lineRule="auto"/>
        <w:ind w:firstLine="720"/>
        <w:jc w:val="both"/>
      </w:pPr>
      <w:r>
        <w:rPr>
          <w:rFonts w:ascii="Times New Roman" w:cs="Times New Roman" w:eastAsia="Times New Roman" w:hAnsi="Times New Roman"/>
          <w:color w:val="1C2B3A"/>
          <w:sz w:val="24"/>
          <w:szCs w:val="24"/>
        </w:rPr>
        <w:t xml:space="preserve">This work is dedicated to the 4.5 billion years of Earth history encoded in the rocks beneath our feet — and to the generations of geologists, paleoclimatologists, and stratigraphers who have spent careers learning to read it. STRATICA does not replace the geologist. It honors and amplifies their work.</w:t>
      </w:r>
    </w:p>
    <w:p>
      <w:pPr>
        <w:spacing w:before="0" w:after="80"/>
      </w:pPr>
      <w:r>
        <w:t xml:space="preserve"/>
      </w:r>
    </w:p>
    <w:p>
      <w:pPr>
        <w:spacing w:before="0" w:after="80"/>
      </w:pPr>
      <w:r>
        <w:rPr>
          <w:rFonts w:ascii="Arial" w:cs="Arial" w:eastAsia="Arial" w:hAnsi="Arial"/>
          <w:b/>
          <w:bCs/>
          <w:color w:val="0F4C75"/>
          <w:sz w:val="22"/>
          <w:szCs w:val="22"/>
        </w:rPr>
        <w:t xml:space="preserve">FUNDING: </w:t>
      </w:r>
      <w:r>
        <w:rPr>
          <w:rFonts w:ascii="Arial" w:cs="Arial" w:eastAsia="Arial" w:hAnsi="Arial"/>
          <w:color w:val="1C2B3A"/>
          <w:sz w:val="22"/>
          <w:szCs w:val="22"/>
        </w:rPr>
        <w:t xml:space="preserve">Ronin Institute Independent Scholar Award: $52,000  |  STRATICA Computational Resources: Google Cloud Academic Research Program (GCP-STRATICA-2026)  |  Paleoclimate Data Access: IODP-JRSO Data Science Initiative  |  Total: ~$95,000</w:t>
      </w:r>
    </w:p>
    <w:p>
      <w:pPr>
        <w:spacing w:before="0" w:after="200"/>
      </w:pPr>
      <w:r>
        <w:rPr>
          <w:rFonts w:ascii="Arial" w:cs="Arial" w:eastAsia="Arial" w:hAnsi="Arial"/>
          <w:b/>
          <w:bCs/>
          <w:color w:val="0F4C75"/>
          <w:sz w:val="22"/>
          <w:szCs w:val="22"/>
        </w:rPr>
        <w:t xml:space="preserve">CONFLICTS OF INTEREST: </w:t>
      </w:r>
      <w:r>
        <w:rPr>
          <w:rFonts w:ascii="Arial" w:cs="Arial" w:eastAsia="Arial" w:hAnsi="Arial"/>
          <w:color w:val="1C2B3A"/>
          <w:sz w:val="22"/>
          <w:szCs w:val="22"/>
        </w:rPr>
        <w:t xml:space="preserve">None declared. No human subjects. All data used under open-access publication terms or formal data-sharing agreements. No financial relationships with mining, petroleum, or climate technology companies.</w:t>
      </w:r>
    </w:p>
    <w:p>
      <w:pPr>
        <w:pBdr>
          <w:bottom w:val="single" w:color="0F4C75" w:sz="8" w:space="1"/>
        </w:pBdr>
        <w:spacing w:before="80" w:after="160"/>
      </w:pPr>
      <w:r>
        <w:t xml:space="preserve"/>
      </w:r>
    </w:p>
    <w:p>
      <w:pPr>
        <w:spacing w:before="80" w:after="80"/>
        <w:jc w:val="center"/>
      </w:pPr>
      <w:r>
        <w:rPr>
          <w:rFonts w:ascii="Arial" w:cs="Arial" w:eastAsia="Arial" w:hAnsi="Arial"/>
          <w:color w:val="6B7A8D"/>
          <w:sz w:val="18"/>
          <w:szCs w:val="18"/>
        </w:rPr>
        <w:t xml:space="preserve">DOI: 10.5281/zenodo.18851076  |  Manuscript ID: STRATICA-2026-001  |  Date: September 2026  |  Status: Submitted to Earth and Planetary Science Letters</w:t>
      </w:r>
    </w:p>
    <w:p>
      <w:pPr>
        <w:spacing w:before="0" w:after="160"/>
      </w:pPr>
      <w:r>
        <w:t xml:space="preserve"/>
      </w:r>
    </w:p>
    <w:p>
      <w:pPr>
        <w:spacing w:before="0" w:after="60"/>
        <w:jc w:val="center"/>
      </w:pPr>
      <w:r>
        <w:rPr>
          <w:rFonts w:ascii="Times New Roman" w:cs="Times New Roman" w:eastAsia="Times New Roman" w:hAnsi="Times New Roman"/>
          <w:i/>
          <w:iCs/>
          <w:color w:val="0F4C75"/>
          <w:sz w:val="26"/>
          <w:szCs w:val="26"/>
        </w:rPr>
        <w:t xml:space="preserve">In the layers of the Earth, time is not lost — it is stored.</w:t>
      </w:r>
    </w:p>
    <w:p>
      <w:pPr>
        <w:spacing w:before="0" w:after="60"/>
        <w:jc w:val="center"/>
      </w:pPr>
      <w:r>
        <w:rPr>
          <w:rFonts w:ascii="Times New Roman" w:cs="Times New Roman" w:eastAsia="Times New Roman" w:hAnsi="Times New Roman"/>
          <w:i/>
          <w:iCs/>
          <w:color w:val="0F4C75"/>
          <w:sz w:val="26"/>
          <w:szCs w:val="26"/>
        </w:rPr>
        <w:t xml:space="preserve">Every stratum is a sentence; every basin is a book.</w:t>
      </w:r>
    </w:p>
    <w:p>
      <w:pPr>
        <w:spacing w:before="0" w:after="160"/>
        <w:jc w:val="center"/>
      </w:pPr>
      <w:r>
        <w:rPr>
          <w:rFonts w:ascii="Times New Roman" w:cs="Times New Roman" w:eastAsia="Times New Roman" w:hAnsi="Times New Roman"/>
          <w:i/>
          <w:iCs/>
          <w:color w:val="0F4C75"/>
          <w:sz w:val="26"/>
          <w:szCs w:val="26"/>
        </w:rPr>
        <w:t xml:space="preserve">STRATICA is the language in which that book was always waiting to be read.</w:t>
      </w:r>
    </w:p>
    <w:p>
      <w:pPr>
        <w:spacing w:before="0" w:after="0"/>
        <w:jc w:val="center"/>
      </w:pPr>
      <w:r>
        <w:rPr>
          <w:rFonts w:ascii="Arial" w:cs="Arial" w:eastAsia="Arial" w:hAnsi="Arial"/>
          <w:b/>
          <w:bCs/>
          <w:color w:val="6B7A8D"/>
          <w:sz w:val="20"/>
          <w:szCs w:val="20"/>
        </w:rPr>
        <w:t xml:space="preserve">— END OF STRATICA RESEARCH MANUSCRIPT —</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F4C75" w:sz="4" w:space="1"/>
      </w:pBdr>
      <w:tabs>
        <w:tab w:val="right" w:pos="9026"/>
      </w:tabs>
      <w:spacing w:before="80"/>
    </w:pPr>
    <w:r>
      <w:rPr>
        <w:rFonts w:ascii="Arial" w:cs="Arial" w:eastAsia="Arial" w:hAnsi="Arial"/>
        <w:color w:val="6B7A8D"/>
        <w:sz w:val="16"/>
        <w:szCs w:val="16"/>
      </w:rPr>
      <w:t xml:space="preserve">stratica.netlify.app  |  github.com/gitdeeper8/STRATICA</w:t>
    </w:r>
    <w:r>
      <w:rPr>
        <w:rFonts w:ascii="Arial" w:cs="Arial" w:eastAsia="Arial" w:hAnsi="Arial"/>
        <w:sz w:val="16"/>
        <w:szCs w:val="16"/>
      </w:rPr>
      <w:t xml:space="preserve">	</w:t>
    </w:r>
    <w:r>
      <w:rPr>
        <w:rFonts w:ascii="Arial" w:cs="Arial" w:eastAsia="Arial" w:hAnsi="Arial"/>
        <w:color w:val="6B7A8D"/>
        <w:sz w:val="16"/>
        <w:szCs w:val="16"/>
      </w:rPr>
      <w:t xml:space="preserve">Page </w:t>
    </w:r>
    <w:pgNum/>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F4C75" w:sz="4" w:space="1"/>
      </w:pBdr>
      <w:tabs>
        <w:tab w:val="right" w:pos="9026"/>
      </w:tabs>
      <w:spacing w:after="80"/>
    </w:pPr>
    <w:r>
      <w:rPr>
        <w:rFonts w:ascii="Arial" w:cs="Arial" w:eastAsia="Arial" w:hAnsi="Arial"/>
        <w:color w:val="6B7A8D"/>
        <w:sz w:val="16"/>
        <w:szCs w:val="16"/>
      </w:rPr>
      <w:t xml:space="preserve">STRATICA | Baladi, S. (2026) | DOI: 10.5281/zenodo.18851076</w:t>
    </w:r>
    <w:r>
      <w:rPr>
        <w:rFonts w:ascii="Arial" w:cs="Arial" w:eastAsia="Arial" w:hAnsi="Arial"/>
        <w:sz w:val="16"/>
        <w:szCs w:val="16"/>
      </w:rPr>
      <w:t xml:space="preserve">	</w:t>
    </w:r>
    <w:r>
      <w:rPr>
        <w:rFonts w:ascii="Arial" w:cs="Arial" w:eastAsia="Arial" w:hAnsi="Arial"/>
        <w:color w:val="6B7A8D"/>
        <w:sz w:val="16"/>
        <w:szCs w:val="16"/>
      </w:rPr>
      <w:t xml:space="preserve">Ronin Institute / Rite of Renaissance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color w:val="1C2B3A"/>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hd w:fill="0F4C75" w:val="clear"/>
      <w:spacing w:before="360" w:after="180"/>
      <w:ind w:left="200"/>
      <w:outlineLvl w:val="0"/>
    </w:pPr>
    <w:rPr>
      <w:rFonts w:ascii="Arial" w:cs="Arial" w:eastAsia="Arial" w:hAnsi="Arial"/>
      <w:b/>
      <w:bCs/>
      <w:color w:val="FFFFFF"/>
      <w:sz w:val="30"/>
      <w:szCs w:val="30"/>
    </w:rPr>
  </w:style>
  <w:style w:type="paragraph" w:styleId="Heading2">
    <w:name w:val="Heading 2"/>
    <w:basedOn w:val="Normal"/>
    <w:next w:val="Normal"/>
    <w:qFormat/>
    <w:pPr>
      <w:pBdr>
        <w:bottom w:val="single" w:color="0F4C75" w:sz="4" w:space="2"/>
      </w:pBdr>
      <w:spacing w:before="280" w:after="120"/>
      <w:outlineLvl w:val="1"/>
    </w:pPr>
    <w:rPr>
      <w:rFonts w:ascii="Arial" w:cs="Arial" w:eastAsia="Arial" w:hAnsi="Arial"/>
      <w:b/>
      <w:bCs/>
      <w:color w:val="0F4C75"/>
      <w:sz w:val="26"/>
      <w:szCs w:val="26"/>
    </w:rPr>
  </w:style>
  <w:style w:type="paragraph" w:styleId="Heading3">
    <w:name w:val="Heading 3"/>
    <w:basedOn w:val="Normal"/>
    <w:next w:val="Normal"/>
    <w:pPr>
      <w:spacing w:before="200" w:after="80"/>
      <w:outlineLvl w:val="2"/>
    </w:pPr>
    <w:rPr>
      <w:rFonts w:ascii="Arial" w:cs="Arial" w:eastAsia="Arial" w:hAnsi="Arial"/>
      <w:b/>
      <w:bCs/>
      <w:color w:val="B8860B"/>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2026-03-03T16:30:22.590Z</dcterms:created>
  <dcterms:modified xsi:type="dcterms:W3CDTF">2026-03-03T16:30:22.591Z</dcterms:modified>
</cp:coreProperties>
</file>

<file path=docProps/custom.xml><?xml version="1.0" encoding="utf-8"?>
<Properties xmlns="http://schemas.openxmlformats.org/officeDocument/2006/custom-properties" xmlns:vt="http://schemas.openxmlformats.org/officeDocument/2006/docPropsVTypes"/>
</file>