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after="240"/>
      </w:pPr>
      <w:r>
        <w:rPr>
          <w:b/>
          <w:sz w:val="32"/>
        </w:rPr>
        <w:t>Rχiv-Maker: an automated template engine for streamlined scientific publications</w:t>
      </w:r>
    </w:p>
    <w:p>
      <w:pPr>
        <w:spacing w:after="160"/>
      </w:pPr>
      <w:r>
        <w:t>Bruno M. Saraiva</w:t>
      </w:r>
      <w:r>
        <w:rPr>
          <w:vertAlign w:val="superscript"/>
        </w:rPr>
        <w:t>1</w:t>
      </w:r>
      <w:r>
        <w:t xml:space="preserve">, </w:t>
      </w:r>
      <w:r>
        <w:t>António D. Brito</w:t>
      </w:r>
      <w:r>
        <w:rPr>
          <w:vertAlign w:val="superscript"/>
        </w:rPr>
        <w:t>1</w:t>
      </w:r>
      <w:r>
        <w:t xml:space="preserve">, </w:t>
      </w:r>
      <w:r>
        <w:t>Guillaume Jaquemet</w:t>
      </w:r>
      <w:r>
        <w:rPr>
          <w:vertAlign w:val="superscript"/>
        </w:rPr>
        <w:t>2,3,4</w:t>
      </w:r>
      <w:r>
        <w:t xml:space="preserve">, </w:t>
      </w:r>
      <w:r>
        <w:t>Ricardo Henriques</w:t>
      </w:r>
      <w:r>
        <w:rPr>
          <w:vertAlign w:val="superscript"/>
        </w:rPr>
        <w:t>1,5</w:t>
      </w:r>
    </w:p>
    <w:p>
      <w:pPr>
        <w:spacing w:after="80"/>
      </w:pPr>
      <w:r>
        <w:rPr>
          <w:vertAlign w:val="superscript"/>
        </w:rPr>
        <w:t>1</w:t>
      </w:r>
      <w:r>
        <w:rPr>
          <w:sz w:val="20"/>
        </w:rPr>
        <w:t xml:space="preserve"> ITQB NOVA</w:t>
      </w:r>
    </w:p>
    <w:p>
      <w:pPr>
        <w:spacing w:after="80"/>
      </w:pPr>
      <w:r>
        <w:rPr>
          <w:vertAlign w:val="superscript"/>
        </w:rPr>
        <w:t>2</w:t>
      </w:r>
      <w:r>
        <w:rPr>
          <w:sz w:val="20"/>
        </w:rPr>
        <w:t xml:space="preserve"> Åbo</w:t>
      </w:r>
    </w:p>
    <w:p>
      <w:pPr>
        <w:spacing w:after="80"/>
      </w:pPr>
      <w:r>
        <w:rPr>
          <w:vertAlign w:val="superscript"/>
        </w:rPr>
        <w:t>3</w:t>
      </w:r>
      <w:r>
        <w:rPr>
          <w:sz w:val="20"/>
        </w:rPr>
        <w:t xml:space="preserve"> InFlames</w:t>
      </w:r>
    </w:p>
    <w:p>
      <w:pPr>
        <w:spacing w:after="80"/>
      </w:pPr>
      <w:r>
        <w:rPr>
          <w:vertAlign w:val="superscript"/>
        </w:rPr>
        <w:t>4</w:t>
      </w:r>
      <w:r>
        <w:rPr>
          <w:sz w:val="20"/>
        </w:rPr>
        <w:t xml:space="preserve"> Turku Bioscience</w:t>
      </w:r>
    </w:p>
    <w:p>
      <w:pPr>
        <w:spacing w:after="240"/>
      </w:pPr>
      <w:r>
        <w:rPr>
          <w:vertAlign w:val="superscript"/>
        </w:rPr>
        <w:t>5</w:t>
      </w:r>
      <w:r>
        <w:rPr>
          <w:sz w:val="20"/>
        </w:rPr>
        <w:t xml:space="preserve"> UCL</w:t>
      </w:r>
    </w:p>
    <w:p>
      <w:pPr>
        <w:pStyle w:val="Heading2"/>
      </w:pPr>
      <w:r>
        <w:t>Abstract</w:t>
      </w:r>
    </w:p>
    <w:p>
      <w:pPr>
        <w:jc w:val="both"/>
      </w:pPr>
      <w:r>
        <w:t>The rapid growth of preprint servers has accelerated scientific dissemination but has also shifted the technical burden of manuscript preparation to authors. This challenge is particularly acute in computational research, where manuscripts must remain synchronised with evolving data and code. We present Rxiv-Maker, a framework that resolves this by converting simple Markdown files into professionally typeset, publication-ready PDFs. Its core feature is the ability to execute embedded code, creating a self-updating manuscript where figures and statistical values are generated directly from source data during compilation. This ensures that the final document is always current and fully reproducible. By integrating with standard tools like Git and Visual Studio (VS) Code, Rxiv-Maker provides an efficient, transparent, and collaborative authoring experience, applying principles of software engineering to academic writing to foster open and verifiable science.</w:t>
      </w:r>
    </w:p>
    <w:p>
      <w:pPr>
        <w:pStyle w:val="Heading2"/>
      </w:pPr>
      <w:r>
        <w:t>Introduction</w:t>
      </w:r>
    </w:p>
    <w:p>
      <w:pPr>
        <w:jc w:val="both"/>
      </w:pPr>
      <w:r>
        <w:t xml:space="preserve">The landscape of scientific publishing has been profoundly reshaped by the rise of preprint servers, which facilitate rapid dissemination of research findings across numerous platforms </w:t>
      </w:r>
      <w:r>
        <w:rPr>
          <w:sz w:val="20"/>
          <w:highlight w:val="yellow"/>
        </w:rPr>
        <w:t>[1]</w:t>
      </w:r>
      <w:r>
        <w:rPr>
          <w:sz w:val="20"/>
          <w:highlight w:val="yellow"/>
        </w:rPr>
        <w:t>[2]</w:t>
      </w:r>
      <w:r>
        <w:rPr>
          <w:sz w:val="20"/>
          <w:highlight w:val="yellow"/>
        </w:rPr>
        <w:t>[3]</w:t>
      </w:r>
      <w:r>
        <w:t xml:space="preserve"> (</w:t>
      </w:r>
      <w:r>
        <w:rPr>
          <w:highlight w:val="yellow"/>
        </w:rPr>
        <w:t>Supp. Fig. 1</w:t>
      </w:r>
      <w:r>
        <w:t xml:space="preserve">, </w:t>
      </w:r>
      <w:r>
        <w:rPr>
          <w:highlight w:val="yellow"/>
        </w:rPr>
        <w:t>Supp. Fig. 2</w:t>
      </w:r>
      <w:r>
        <w:t xml:space="preserve">). This acceleration, however, has transferred the complex task of typesetting from publishers to researchers </w:t>
      </w:r>
      <w:r>
        <w:rPr>
          <w:sz w:val="20"/>
          <w:highlight w:val="yellow"/>
        </w:rPr>
        <w:t>[4]</w:t>
      </w:r>
      <w:r>
        <w:rPr>
          <w:sz w:val="20"/>
          <w:highlight w:val="yellow"/>
        </w:rPr>
        <w:t>[5]</w:t>
      </w:r>
      <w:r>
        <w:rPr>
          <w:sz w:val="20"/>
          <w:highlight w:val="yellow"/>
        </w:rPr>
        <w:t>[6]</w:t>
      </w:r>
      <w:r>
        <w:t xml:space="preserve">. For those of us in computational fields, this is compounded by a more pressing challenge: ensuring the manuscript remains perfectly synchronised with our data and analysis code. We have all faced the tedious and error-prone task of manually updating a p-value or a sample size in the text after re-running an analysis </w:t>
      </w:r>
      <w:r>
        <w:rPr>
          <w:sz w:val="20"/>
          <w:highlight w:val="yellow"/>
        </w:rPr>
        <w:t>[7]</w:t>
      </w:r>
      <w:r>
        <w:t xml:space="preserve">. This disconnect between the research and the report is a critical issue, particularly in disciplines like bioimage analysis, where our findings are built upon complex computational pipelines </w:t>
      </w:r>
      <w:r>
        <w:rPr>
          <w:sz w:val="20"/>
          <w:highlight w:val="yellow"/>
        </w:rPr>
        <w:t>[8]</w:t>
      </w:r>
      <w:r>
        <w:rPr>
          <w:sz w:val="20"/>
          <w:highlight w:val="yellow"/>
        </w:rPr>
        <w:t>[9]</w:t>
      </w:r>
      <w:r>
        <w:t>.</w:t>
      </w:r>
    </w:p>
    <w:p>
      <w:r>
        <w:drawing>
          <wp:inline xmlns:a="http://schemas.openxmlformats.org/drawingml/2006/main" xmlns:pic="http://schemas.openxmlformats.org/drawingml/2006/picture">
            <wp:extent cx="5486400" cy="3889248"/>
            <wp:docPr id="1" name="Picture 1"/>
            <wp:cNvGraphicFramePr>
              <a:graphicFrameLocks noChangeAspect="1"/>
            </wp:cNvGraphicFramePr>
            <a:graphic>
              <a:graphicData uri="http://schemas.openxmlformats.org/drawingml/2006/picture">
                <pic:pic>
                  <pic:nvPicPr>
                    <pic:cNvPr id="0" name="image.png"/>
                    <pic:cNvPicPr/>
                  </pic:nvPicPr>
                  <pic:blipFill>
                    <a:blip r:embed="rId9"/>
                    <a:stretch>
                      <a:fillRect/>
                    </a:stretch>
                  </pic:blipFill>
                  <pic:spPr>
                    <a:xfrm>
                      <a:off x="0" y="0"/>
                      <a:ext cx="5486400" cy="3889248"/>
                    </a:xfrm>
                    <a:prstGeom prst="rect"/>
                  </pic:spPr>
                </pic:pic>
              </a:graphicData>
            </a:graphic>
          </wp:inline>
        </w:drawing>
      </w:r>
    </w:p>
    <w:p>
      <w:pPr>
        <w:jc w:val="both"/>
      </w:pPr>
      <w:r>
        <w:rPr>
          <w:b/>
        </w:rPr>
        <w:t>System Architecture.</w:t>
      </w:r>
      <w:r>
        <w:t xml:space="preserve"> Rxiv-Maker integrates Markdown content, YAML metadata, executable scripts, and bibliographies through a processing engine that combines local execution with LaTeX compilation to produce publication-ready PDFs.</w:t>
      </w:r>
    </w:p>
    <w:p>
      <w:r>
        <w:drawing>
          <wp:inline xmlns:a="http://schemas.openxmlformats.org/drawingml/2006/main" xmlns:pic="http://schemas.openxmlformats.org/drawingml/2006/picture">
            <wp:extent cx="5486400" cy="1658112"/>
            <wp:docPr id="2" name="Picture 2"/>
            <wp:cNvGraphicFramePr>
              <a:graphicFrameLocks noChangeAspect="1"/>
            </wp:cNvGraphicFramePr>
            <a:graphic>
              <a:graphicData uri="http://schemas.openxmlformats.org/drawingml/2006/picture">
                <pic:pic>
                  <pic:nvPicPr>
                    <pic:cNvPr id="0" name="image.png"/>
                    <pic:cNvPicPr/>
                  </pic:nvPicPr>
                  <pic:blipFill>
                    <a:blip r:embed="rId10"/>
                    <a:stretch>
                      <a:fillRect/>
                    </a:stretch>
                  </pic:blipFill>
                  <pic:spPr>
                    <a:xfrm>
                      <a:off x="0" y="0"/>
                      <a:ext cx="5486400" cy="1658112"/>
                    </a:xfrm>
                    <a:prstGeom prst="rect"/>
                  </pic:spPr>
                </pic:pic>
              </a:graphicData>
            </a:graphic>
          </wp:inline>
        </w:drawing>
      </w:r>
    </w:p>
    <w:p>
      <w:pPr>
        <w:jc w:val="both"/>
      </w:pPr>
      <w:r>
        <w:rPr>
          <w:b/>
        </w:rPr>
        <w:t>Processing Pipeline.</w:t>
      </w:r>
      <w:r>
        <w:t xml:space="preserve"> User-provided content (left) undergoes automated processing (right), including parsing, script execution, LaTeX conversion, and PDF compilation.</w:t>
      </w:r>
    </w:p>
    <w:p>
      <w:pPr>
        <w:jc w:val="both"/>
      </w:pPr>
      <w:r>
        <w:t xml:space="preserve">To address these pain points, we developed Rxiv-Maker, a framework designed to streamline the creation of scientific manuscripts. It automates the production of publication-ready PDFs from simple Markdown, harnessing the typesetting power of LaTeX without requiring the author to write LaTeX code. Rxiv-Maker transforms the document into a self-updating manuscript by executing embedded Python or R scripts during compilation. This approach forges a direct, traceable link between the data and the final publication, eliminating manual transcription errors and ensuring the document is always synchronised with the latest results. The framework is designed as a local-first system, providing a rapid and responsive authoring experience that integrates seamlessly with version control systems like Git, thereby enhancing transparency and collaboration </w:t>
      </w:r>
      <w:r>
        <w:rPr>
          <w:sz w:val="20"/>
          <w:highlight w:val="yellow"/>
        </w:rPr>
        <w:t>[10]</w:t>
      </w:r>
      <w:r>
        <w:rPr>
          <w:sz w:val="20"/>
          <w:highlight w:val="yellow"/>
        </w:rPr>
        <w:t>[11]</w:t>
      </w:r>
      <w:r>
        <w:t xml:space="preserve">. The overall architecture and processing pipeline are illustrated in </w:t>
      </w:r>
      <w:r>
        <w:rPr>
          <w:highlight w:val="yellow"/>
        </w:rPr>
        <w:t>Fig. 1</w:t>
      </w:r>
      <w:r>
        <w:t xml:space="preserve"> and </w:t>
      </w:r>
      <w:r>
        <w:rPr>
          <w:highlight w:val="yellow"/>
        </w:rPr>
        <w:t>Fig. 2</w:t>
      </w:r>
      <w:r>
        <w:t>, respectively. A tutorial is provided to guide new users through their first manuscript (</w:t>
      </w:r>
      <w:r>
        <w:rPr>
          <w:highlight w:val="yellow"/>
        </w:rPr>
        <w:t>Supp. Note 1</w:t>
      </w:r>
      <w:r>
        <w:t>).</w:t>
      </w:r>
    </w:p>
    <w:p>
      <w:pPr>
        <w:pStyle w:val="Heading2"/>
      </w:pPr>
      <w:r>
        <w:t>Results</w:t>
      </w:r>
    </w:p>
    <w:p>
      <w:pPr>
        <w:pStyle w:val="Heading3"/>
      </w:pPr>
      <w:r>
        <w:t>From Static Text to Self-Updating Manuscripts</w:t>
      </w:r>
    </w:p>
    <w:p>
      <w:pPr>
        <w:jc w:val="both"/>
      </w:pPr>
      <w:r>
        <w:t xml:space="preserve">A central achievement of Rxiv-Maker is its ability to create dynamic, self-updating documents. By embedding executable code snippets directly within the Markdown source, the manuscript transitions from a static report to a living document. This functionality enables the direct execution of analysis scripts during compilation, with the results (whether statistical values, tables, or figures) directly injected into the text. This process eliminates the possibility of transcription errors when, for example, copying a value from a terminal or another program into the manuscript. We demonstrate this with a practical example from this very paper. The Python code shown in </w:t>
      </w:r>
      <w:r>
        <w:rPr>
          <w:highlight w:val="yellow"/>
        </w:rPr>
        <w:t>Fig. 3</w:t>
      </w:r>
      <w:r>
        <w:t xml:space="preserve"> is embedded in the source of our manuscript. At build time, it retrieves the latest public data on arXiv submissions, calculates key statistics, and inserts them into the text. This ensures that our discussion of preprint growth is always based on the most current evidence available. The analysis reveals that, since 1991, a total of 2.9 million submissions have been made over 35 years (</w:t>
      </w:r>
      <w:r>
        <w:rPr>
          <w:highlight w:val="yellow"/>
        </w:rPr>
        <w:t>Supp. Fig. 1</w:t>
      </w:r>
      <w:r>
        <w:t xml:space="preserve">). These are not static numbers; they were computed when this document was compiled on December 09, 2025, using data updated in December 2025. This capability extends to all forms of programmatic figure generation, as detailed in </w:t>
      </w:r>
      <w:r>
        <w:rPr>
          <w:highlight w:val="yellow"/>
        </w:rPr>
        <w:t>Supp. Note 3</w:t>
      </w:r>
      <w:r>
        <w:t>, ensuring that every visual and numerical claim is reproducibly generated.</w:t>
      </w:r>
    </w:p>
    <w:p>
      <w:r>
        <w:drawing>
          <wp:inline xmlns:a="http://schemas.openxmlformats.org/drawingml/2006/main" xmlns:pic="http://schemas.openxmlformats.org/drawingml/2006/picture">
            <wp:extent cx="5486400" cy="4676757"/>
            <wp:docPr id="3" name="Picture 3"/>
            <wp:cNvGraphicFramePr>
              <a:graphicFrameLocks noChangeAspect="1"/>
            </wp:cNvGraphicFramePr>
            <a:graphic>
              <a:graphicData uri="http://schemas.openxmlformats.org/drawingml/2006/picture">
                <pic:pic>
                  <pic:nvPicPr>
                    <pic:cNvPr id="0" name="Figure__python_snippet.png"/>
                    <pic:cNvPicPr/>
                  </pic:nvPicPr>
                  <pic:blipFill>
                    <a:blip r:embed="rId11"/>
                    <a:stretch>
                      <a:fillRect/>
                    </a:stretch>
                  </pic:blipFill>
                  <pic:spPr>
                    <a:xfrm>
                      <a:off x="0" y="0"/>
                      <a:ext cx="5486400" cy="4676757"/>
                    </a:xfrm>
                    <a:prstGeom prst="rect"/>
                  </pic:spPr>
                </pic:pic>
              </a:graphicData>
            </a:graphic>
          </wp:inline>
        </w:drawing>
      </w:r>
    </w:p>
    <w:p>
      <w:pPr>
        <w:jc w:val="both"/>
      </w:pPr>
      <w:r>
        <w:rPr>
          <w:b/>
        </w:rPr>
        <w:t>Embedded Python for dynamic content.</w:t>
      </w:r>
      <w:r>
        <w:t xml:space="preserve"> This figure shows a Python script embedded in the manuscript's source code. The script is executed at build time to compute data attributes (e.g., total submissions and span of years) and inject the resulting values directly into the text. This process, rendered here with syntax highlighting from the Rxiv-Maker VS Code extension, eliminates manual transcription errors and ensures the text remains synchronised with the source data.</w:t>
      </w:r>
    </w:p>
    <w:p>
      <w:pPr>
        <w:pStyle w:val="Heading3"/>
      </w:pPr>
      <w:r>
        <w:t>Automated Professional Typesetting from Simple Text</w:t>
      </w:r>
    </w:p>
    <w:p>
      <w:pPr>
        <w:jc w:val="both"/>
      </w:pPr>
      <w:r>
        <w:t>Rxiv-Maker allows researchers to achieve the typographic quality of LaTeX while writing in simple, intuitive Markdown. This is accomplished through a sophisticated, multi-pass translator that converts Markdown to LaTeX in a guarded manner. We recognised that a naive, single-pass conversion would be too fragile for academic documents, where complex syntax for mathematics, citations, and cross-references must be preserved. Our translator first identifies and protects delicate elements: mathematical expressions (</w:t>
      </w:r>
      <w:r>
        <w:rPr>
          <w:highlight w:val="yellow"/>
        </w:rPr>
        <w:t>Supp. Note 4</w:t>
      </w:r>
      <w:r>
        <w:t xml:space="preserve">), code blocks, and citation keys. Subsequent passes then normalise document structure and intelligently convert Rxiv-Maker's extended Markdown syntax into the corresponding LaTeX commands, supporting comprehensive text formatting including </w:t>
      </w:r>
      <w:r>
        <w:rPr>
          <w:b/>
        </w:rPr>
        <w:t>bold</w:t>
      </w:r>
      <w:r>
        <w:t xml:space="preserve">, </w:t>
      </w:r>
      <w:r>
        <w:rPr>
          <w:i/>
        </w:rPr>
        <w:t>italic</w:t>
      </w:r>
      <w:r>
        <w:t xml:space="preserve">, </w:t>
      </w:r>
      <w:r>
        <w:rPr>
          <w:u w:val="single"/>
        </w:rPr>
        <w:t>underlined</w:t>
      </w:r>
      <w:r>
        <w:t xml:space="preserve">, and other typographic elements. The system handles complex nested formatting combinations such as </w:t>
      </w:r>
      <w:r>
        <w:rPr>
          <w:b/>
          <w:u w:val="single"/>
        </w:rPr>
        <w:t>bold within underline</w:t>
      </w:r>
      <w:r>
        <w:t xml:space="preserve"> and </w:t>
      </w:r>
      <w:r>
        <w:rPr>
          <w:b/>
          <w:u w:val="single"/>
        </w:rPr>
        <w:t>underlined within bold</w:t>
      </w:r>
      <w:r>
        <w:t xml:space="preserve"> seamlessly. For instance, it transforms image syntax into floating figure environments, automatically handling captions, labels, and layout parameters. This process enables authors to specify figure widths or positions using simple options in Markdown, without needing to modify LaTeX code. The system supports a wide array of figure generation methods, from static images to script-based visualisations (</w:t>
      </w:r>
      <w:r>
        <w:rPr>
          <w:highlight w:val="yellow"/>
        </w:rPr>
        <w:t>Supp. Table 1</w:t>
      </w:r>
      <w:r>
        <w:t xml:space="preserve">), ensuring all visual elements are correctly and professionally typeset. For more advanced formatting needs, including complex tables, users can directly inject LaTeX code using </w:t>
      </w:r>
      <w:r>
        <w:rPr>
          <w:rFonts w:ascii="Courier New" w:hAnsi="Courier New"/>
          <w:sz w:val="20"/>
        </w:rPr>
        <w:t>{{tex:...}}</w:t>
      </w:r>
      <w:r>
        <w:t xml:space="preserve"> blocks. A complete syntax reference and example are detailed in </w:t>
      </w:r>
      <w:r>
        <w:rPr>
          <w:highlight w:val="yellow"/>
        </w:rPr>
        <w:t>Supp. Note 2</w:t>
      </w:r>
      <w:r>
        <w:t>.</w:t>
      </w:r>
    </w:p>
    <w:p>
      <w:pPr>
        <w:pStyle w:val="Heading3"/>
      </w:pPr>
      <w:r>
        <w:t>An Integrated and Rapid Authoring Experience</w:t>
      </w:r>
    </w:p>
    <w:p>
      <w:pPr>
        <w:jc w:val="both"/>
      </w:pPr>
      <w:r>
        <w:t xml:space="preserve">We designed Rxiv-Maker to provide a seamless and efficient writing experience. The framework operates as a local-first command-line tool, which means that compilation is fast and authors receive immediate feedback on their changes. This rapid iteration is enhanced by an intelligent caching system that remembers which figures and results are already built. It computes a unique signature: a checksum from a figure's source code and data dependencies. A script is only re-executed if this signature has changed, saving valuable time during compilation without compromising reproducibility, as further explained in </w:t>
      </w:r>
      <w:r>
        <w:rPr>
          <w:highlight w:val="yellow"/>
        </w:rPr>
        <w:t>Supp. Note 5</w:t>
      </w:r>
      <w:r>
        <w:t>. To lower the barrier to entry, we developed a companion extension for Visual Studio Code (</w:t>
      </w:r>
      <w:r>
        <w:rPr>
          <w:highlight w:val="yellow"/>
        </w:rPr>
        <w:t>Supp. Fig. 3</w:t>
      </w:r>
      <w:r>
        <w:t>). This extension acts as a helpful assistant, providing syntax highlighting for our extended Markdown, autocompletion for citation keys and cross-references, and real-time validation of the manuscript's configuration. This integration of authoring and validation into a single, familiar environment streamlines the writing process, allowing researchers to focus on their content rather than on the technical details of typesetting.</w:t>
      </w:r>
    </w:p>
    <w:p>
      <w:pPr>
        <w:pStyle w:val="Heading3"/>
      </w:pPr>
      <w:r>
        <w:t>Designed for Transparent and Collaborative Science</w:t>
      </w:r>
    </w:p>
    <w:p>
      <w:pPr>
        <w:jc w:val="both"/>
      </w:pPr>
      <w:r>
        <w:t xml:space="preserve">Reproducibility and collaboration are at the heart of Rxiv-Maker. By design, the entire manuscript is structured to be managed with Git, the version control system that is standard in software development. This includes the text, code, data, and configuration. This treats the manuscript as a complete, self-contained project where every change is tracked, attributed, and auditable. This aligns perfectly with the principles of open science, creating a transparent history of the research from its inception to the final publication. The framework's command-line interface includes a powerful </w:t>
      </w:r>
      <w:r>
        <w:rPr>
          <w:rFonts w:ascii="Courier New" w:hAnsi="Courier New"/>
          <w:sz w:val="20"/>
        </w:rPr>
        <w:t>rxiv validate</w:t>
      </w:r>
      <w:r>
        <w:t xml:space="preserve"> command that serves as a quality control gatekeeper. It performs a series of checks, such as verifying that all figures are present, all cross-references are valid, and all bibliographic entries are correctly formatted. This validation can be integrated into automated workflows, for instance, as a pre-commit hook to prevent broken versions from entering the project history, or as a check in a continuous integration (CI) pipeline to ensure that a manuscript is always ready for dissemination. This brings the rigour of professional software engineering to the academic writing process.</w:t>
      </w:r>
    </w:p>
    <w:p>
      <w:pPr>
        <w:pStyle w:val="Heading2"/>
      </w:pPr>
      <w:r>
        <w:t>Discussion</w:t>
      </w:r>
    </w:p>
    <w:p>
      <w:pPr>
        <w:jc w:val="both"/>
      </w:pPr>
      <w:r>
        <w:t xml:space="preserve">Rxiv-Maker finds its place in a growing ecosystem of tools designed to enhance scientific publishing. Our approach is distinct from collaborative web-based editors like Overleaf </w:t>
      </w:r>
      <w:r>
        <w:rPr>
          <w:sz w:val="20"/>
          <w:highlight w:val="yellow"/>
        </w:rPr>
        <w:t>[12]</w:t>
      </w:r>
      <w:r>
        <w:t xml:space="preserve">, which, while excellent for team-based LaTeX writing, do not address the fundamental challenge of keeping a manuscript synchronised with external data and analysis code </w:t>
      </w:r>
      <w:r>
        <w:rPr>
          <w:sz w:val="20"/>
          <w:highlight w:val="yellow"/>
        </w:rPr>
        <w:t>[13]</w:t>
      </w:r>
      <w:r>
        <w:t xml:space="preserve">. Our philosophy is more closely aligned with that of platforms like Manubot </w:t>
      </w:r>
      <w:r>
        <w:rPr>
          <w:sz w:val="20"/>
          <w:highlight w:val="yellow"/>
        </w:rPr>
        <w:t>[14]</w:t>
      </w:r>
      <w:r>
        <w:t xml:space="preserve">, Jupyter Book </w:t>
      </w:r>
      <w:r>
        <w:rPr>
          <w:sz w:val="20"/>
          <w:highlight w:val="yellow"/>
        </w:rPr>
        <w:t>[15]</w:t>
      </w:r>
      <w:r>
        <w:t xml:space="preserve">, and Quarto </w:t>
      </w:r>
      <w:r>
        <w:rPr>
          <w:sz w:val="20"/>
          <w:highlight w:val="yellow"/>
        </w:rPr>
        <w:t>[16]</w:t>
      </w:r>
      <w:r>
        <w:t xml:space="preserve">, which also integrate code and narrative, often building on notebook-based formats </w:t>
      </w:r>
      <w:r>
        <w:rPr>
          <w:sz w:val="20"/>
          <w:highlight w:val="yellow"/>
        </w:rPr>
        <w:t>[17]</w:t>
      </w:r>
      <w:r>
        <w:t>. However, Rxiv-Maker is specifically optimised for the production of high-quality, submission-ready manuscripts from a local-first, developer-centric workflow. Beyond preprint distribution, rxiv-maker excels at generating professional manuscripts suitable for first submission to peer-reviewed journals, providing publication-quality PDFs and clean LaTeX source code that many journals readily accept prior to their final journal-specific formatting requirements. This positions rxiv-maker as a comprehensive solution spanning the entire academic publishing pipeline—from initial draft through preprint distribution to journal submission. As shown in our comparison with other tools (</w:t>
      </w:r>
      <w:r>
        <w:rPr>
          <w:highlight w:val="yellow"/>
        </w:rPr>
        <w:t>Supp. Table 2</w:t>
      </w:r>
      <w:r>
        <w:t xml:space="preserve">), its unique strengths lie in its self-updating capabilities, its intelligent caching for rapid rebuilds, and its deep integration with the Git-based workflows that are common in computational research. We also note other modern typesetting systems like Typst </w:t>
      </w:r>
      <w:r>
        <w:rPr>
          <w:sz w:val="20"/>
          <w:highlight w:val="yellow"/>
        </w:rPr>
        <w:t>[18]</w:t>
      </w:r>
      <w:r>
        <w:t xml:space="preserve"> and frameworks like Bookdown </w:t>
      </w:r>
      <w:r>
        <w:rPr>
          <w:sz w:val="20"/>
          <w:highlight w:val="yellow"/>
        </w:rPr>
        <w:t>[19]</w:t>
      </w:r>
      <w:r>
        <w:t xml:space="preserve">, which offer alternative paradigms for scientific document creation. While powerful, Rxiv-Maker has limitations. Its primary output is currently PDF, which is ideal for preprints but less suited for the web. To address this, we plan to integrate Pandoc </w:t>
      </w:r>
      <w:r>
        <w:rPr>
          <w:sz w:val="20"/>
          <w:highlight w:val="yellow"/>
        </w:rPr>
        <w:t>[20]</w:t>
      </w:r>
      <w:r>
        <w:t xml:space="preserve"> into our pipeline, which will enable multi-format outputs, such as HTML and EPUB, while preserving our commitment to typographic quality. We also intend to enhance the framework's integration with computational environment managers to further improve the portability and reproducibility of our executable manuscripts across different systems and institutions </w:t>
      </w:r>
      <w:r>
        <w:rPr>
          <w:sz w:val="20"/>
          <w:highlight w:val="yellow"/>
        </w:rPr>
        <w:t>[8]</w:t>
      </w:r>
      <w:r>
        <w:rPr>
          <w:sz w:val="20"/>
          <w:highlight w:val="yellow"/>
        </w:rPr>
        <w:t>[9]</w:t>
      </w:r>
      <w:r>
        <w:t xml:space="preserve">, for which containerisation technologies are also a valid alternative </w:t>
      </w:r>
      <w:r>
        <w:rPr>
          <w:sz w:val="20"/>
          <w:highlight w:val="yellow"/>
        </w:rPr>
        <w:t>[21]</w:t>
      </w:r>
      <w:r>
        <w:rPr>
          <w:sz w:val="20"/>
          <w:highlight w:val="yellow"/>
        </w:rPr>
        <w:t>[22]</w:t>
      </w:r>
      <w:r>
        <w:t xml:space="preserve">. By applying the principles of literate programming </w:t>
      </w:r>
      <w:r>
        <w:rPr>
          <w:sz w:val="20"/>
          <w:highlight w:val="yellow"/>
        </w:rPr>
        <w:t>[23]</w:t>
      </w:r>
      <w:r>
        <w:t xml:space="preserve"> to the creation of academic papers, Rxiv-Maker helps bridge the gap between computational research and traditional scientific publishing. It fosters a workflow where the manuscript is not merely a report of the research, but a reproducible and verifiable embodiment of it. In an era where the responsibility for typesetting and validation increasingly falls to authors, tools that automate quality control and promote rigour are essential. Rxiv-Maker is our contribution to this movement, offering a framework that empowers researchers to produce transparent, reproducible, and professionally polished manuscripts with confidence and efficiency.</w:t>
      </w:r>
    </w:p>
    <w:p>
      <w:pPr>
        <w:pStyle w:val="Heading2"/>
      </w:pPr>
      <w:r>
        <w:t>Methods</w:t>
      </w:r>
    </w:p>
    <w:p>
      <w:pPr>
        <w:jc w:val="both"/>
      </w:pPr>
      <w:r>
        <w:t xml:space="preserve">The Rxiv-Maker framework is implemented as a modular, Python-based engine designed to ensure computational reproducibility at every stage of manuscript preparation. The processing pipeline begins by establishing an isolated and consistent computational environment, where all dependencies for Python, R, and LaTeX are managed. This ensures that a manuscript can be reliably recompiled on different machines and in the future. The framework's overall architecture is detailed in </w:t>
      </w:r>
      <w:r>
        <w:rPr>
          <w:highlight w:val="yellow"/>
        </w:rPr>
        <w:t>Supp. Fig. 4</w:t>
      </w:r>
      <w:r>
        <w:t xml:space="preserve">. The core of our approach is transforming the manuscript into an executable document. The engine identifies and runs embedded Python or R scripts to generate figures and statistical values directly from source data, as described in </w:t>
      </w:r>
      <w:r>
        <w:rPr>
          <w:highlight w:val="yellow"/>
        </w:rPr>
        <w:t>Supp. Note 3</w:t>
      </w:r>
      <w:r>
        <w:t>. To ensure a rapid and interactive authoring experience, this process is optimised with an intelligent caching system. It computes content-based checksums of the source scripts and their data dependencies, so that code is only re-executed when a genuine change has been made (</w:t>
      </w:r>
      <w:r>
        <w:rPr>
          <w:highlight w:val="yellow"/>
        </w:rPr>
        <w:t>Supp. Note 5</w:t>
      </w:r>
      <w:r>
        <w:t>). This saves significant time during iterative writing without compromising the integrity of the results. To convert the author's simple Markdown into a professional LaTeX document, we developed a robust, multi-pass translator. This translator employs a content-protection strategy, first identifying and isolating delicate syntactic structures, including mathematical equations (</w:t>
      </w:r>
      <w:r>
        <w:rPr>
          <w:highlight w:val="yellow"/>
        </w:rPr>
        <w:t>Supp. Note 4</w:t>
      </w:r>
      <w:r>
        <w:t>), citation keys, and code blocks. Subsequent passes then normalise the document structure and map Rxiv-Maker's extended syntax for figures and cross-references to the appropriate LaTeX commands. This guarded approach enables authors to leverage the simplicity of Markdown without compromising the complex syntax necessary for academic publishing. A multi-level validation system provides continuous quality control. Before compilation, it checks for common errors, such as missing files or broken references. During compilation, it parses LaTeX and BibTeX logs to provide clear, actionable error messages. This automated quality control is essential for maintaining the integrity of the document throughout the authoring process. Finally, to ensure maximum reproducibility, the framework supports multiple deployment strategies. The primary recommended approach is a local installation, which requires Python and a LaTeX distribution. This method offers an excellent combination of high usability and reproducibility, with collaboration managed through Git. For absolute environmental consistency, which is particularly valuable for large collaborations or long-term archival, a fully containerised version is also available. This requires Docker but encapsulates the entire build environment, guaranteeing that the manuscript can be recompiled with bit-for-bit identical results on any system.</w:t>
      </w:r>
    </w:p>
    <w:p>
      <w:pPr>
        <w:pStyle w:val="Heading2"/>
      </w:pPr>
      <w:r>
        <w:t>Data availability</w:t>
      </w:r>
    </w:p>
    <w:p>
      <w:pPr>
        <w:jc w:val="both"/>
      </w:pPr>
      <w:r>
        <w:t xml:space="preserve">The arXiv monthly submission data used in this article is available at </w:t>
      </w:r>
      <w:hyperlink r:id="rId12">
        <w:r>
          <w:rPr>
            <w:u w:val="single"/>
            <w:color w:val="0000FF"/>
            <w:highlight w:val="yellow"/>
          </w:rPr>
          <w:t>https://arxiv.org/stats/monthly_submissions</w:t>
        </w:r>
      </w:hyperlink>
      <w:r>
        <w:t xml:space="preserve">. Preprint submissions data across different hosting platforms is available at </w:t>
      </w:r>
      <w:hyperlink r:id="rId13">
        <w:r>
          <w:rPr>
            <w:u w:val="single"/>
            <w:color w:val="0000FF"/>
            <w:highlight w:val="yellow"/>
          </w:rPr>
          <w:t>https://github.com/esperr/pubmed-by-year</w:t>
        </w:r>
      </w:hyperlink>
      <w:r>
        <w:t xml:space="preserve">. The source code and data for the figures in this article are available at </w:t>
      </w:r>
      <w:hyperlink r:id="rId14">
        <w:r>
          <w:rPr>
            <w:u w:val="single"/>
            <w:color w:val="0000FF"/>
            <w:highlight w:val="yellow"/>
          </w:rPr>
          <w:t>https://github.com/HenriquesLab/rxiv-maker</w:t>
        </w:r>
      </w:hyperlink>
      <w:r>
        <w:t>.</w:t>
      </w:r>
    </w:p>
    <w:p>
      <w:pPr>
        <w:pStyle w:val="Heading2"/>
      </w:pPr>
      <w:r>
        <w:t>Code availability</w:t>
      </w:r>
    </w:p>
    <w:p>
      <w:pPr>
        <w:jc w:val="both"/>
      </w:pPr>
      <w:r>
        <w:t xml:space="preserve">The Rxiv-Maker computational framework is available at </w:t>
      </w:r>
      <w:hyperlink r:id="rId14">
        <w:r>
          <w:rPr>
            <w:u w:val="single"/>
            <w:color w:val="0000FF"/>
            <w:highlight w:val="yellow"/>
          </w:rPr>
          <w:t>https://github.com/HenriquesLab/rxiv-maker</w:t>
        </w:r>
      </w:hyperlink>
      <w:r>
        <w:t xml:space="preserve">. The companion Visual Studio Code extension is at </w:t>
      </w:r>
      <w:hyperlink r:id="rId15">
        <w:r>
          <w:rPr>
            <w:u w:val="single"/>
            <w:color w:val="0000FF"/>
            <w:highlight w:val="yellow"/>
          </w:rPr>
          <w:t>https://github.com/HenriquesLab/vscode-rxiv-maker</w:t>
        </w:r>
      </w:hyperlink>
      <w:r>
        <w:t xml:space="preserve">. For users requiring containerised execution, the docker-rxiv-maker repository provides Docker-based deployment at </w:t>
      </w:r>
      <w:hyperlink r:id="rId16">
        <w:r>
          <w:rPr>
            <w:u w:val="single"/>
            <w:color w:val="0000FF"/>
            <w:highlight w:val="yellow"/>
          </w:rPr>
          <w:t>https://github.com/HenriquesLab/docker-rxiv-maker</w:t>
        </w:r>
      </w:hyperlink>
      <w:r>
        <w:t>. All repositories are released under an MIT License.</w:t>
      </w:r>
    </w:p>
    <w:p>
      <w:pPr>
        <w:pStyle w:val="Heading2"/>
      </w:pPr>
      <w:r>
        <w:t>Author contributions</w:t>
      </w:r>
    </w:p>
    <w:p>
      <w:pPr>
        <w:jc w:val="both"/>
      </w:pPr>
      <w:r>
        <w:t>Bruno M. Saraiva, Guillaume Jacquemet, and Ricardo Henriques conceived the project and designed the framework. António D. Brito beta-tested features and troubleshooted user experience. All authors contributed to writing and reviewing the manuscript.</w:t>
      </w:r>
    </w:p>
    <w:p>
      <w:pPr>
        <w:pStyle w:val="Heading2"/>
      </w:pPr>
      <w:r>
        <w:t>Acknowledgements</w:t>
      </w:r>
    </w:p>
    <w:p>
      <w:pPr>
        <w:jc w:val="both"/>
      </w:pPr>
      <w:r>
        <w:t>The authors thank Jeffrey Perkel for feedback that helped improve the manuscript. B.S. and R.H. acknowledge support from the European Research Council (ERC) under the European Union's Horizon 2020 research and innovation programme (grant agreement No. 101001332) (to R.H.) and funding from the European Union through the Horizon Europe program (AI4LIFE project with grant agreement 101057970-AI4LIFE and RT-SuperES project with grant agreement 101099654-RTSuperES to R.H.). Funded by the European Union. However, the views and opinions expressed are those of the authors only and do not necessarily reflect those of the European Union. Neither the European Union nor the granting authority can be held responsible for them. This work was also supported by a European Molecular Biology Organization (EMBO) installation grant (EMBO-2020-IG-4734 to R.H.), a Chan Zuckerberg Initiative Visual Proteomics Grant (vpi-0000000044 with https://doi.org/10.37921/743590vtudfp to R.H.), and a Chan Zuckerberg Initiative Essential Open Source Software for Science (EOSS6-0000000260). This study was supported by the Academy of Finland (no. 338537 to G.J.), the Sigrid Juselius Foundation (to G.J.), the Cancer Society of Finland (Syöpäjärjestöt, to G.J.), and the Solutions for Health strategic funding to Åbo Akademi University (to G.J.). This research was supported by the InFLAMES Flagship Program of the Academy of Finland (decision no. 337531).</w:t>
      </w:r>
    </w:p>
    <w:p>
      <w:r>
        <w:br w:type="page"/>
      </w:r>
    </w:p>
    <w:p>
      <w:pPr>
        <w:pStyle w:val="Heading1"/>
      </w:pPr>
      <w:r>
        <w:t>Supplementary Information</w:t>
      </w:r>
    </w:p>
    <w:p>
      <w:pPr>
        <w:pStyle w:val="Heading2"/>
      </w:pPr>
      <w:r>
        <w:t>Supplementary Tables</w:t>
      </w:r>
    </w:p>
    <w:tbl>
      <w:tblPr>
        <w:tblStyle w:val="LightGrid-Accent1"/>
        <w:tblW w:type="auto" w:w="0"/>
        <w:tblLook w:firstColumn="1" w:firstRow="1" w:lastColumn="0" w:lastRow="0" w:noHBand="0" w:noVBand="1" w:val="04A0"/>
      </w:tblPr>
      <w:tblGrid>
        <w:gridCol w:w="1440"/>
        <w:gridCol w:w="1440"/>
        <w:gridCol w:w="1440"/>
        <w:gridCol w:w="1440"/>
        <w:gridCol w:w="1440"/>
        <w:gridCol w:w="1440"/>
      </w:tblGrid>
      <w:tr>
        <w:tc>
          <w:tcPr>
            <w:tcW w:type="dxa" w:w="1440"/>
          </w:tcPr>
          <w:p>
            <w:r/>
            <w:r>
              <w:rPr>
                <w:b/>
              </w:rPr>
              <w:t>Format</w:t>
            </w:r>
          </w:p>
        </w:tc>
        <w:tc>
          <w:tcPr>
            <w:tcW w:type="dxa" w:w="1440"/>
          </w:tcPr>
          <w:p>
            <w:r/>
            <w:r>
              <w:rPr>
                <w:b/>
              </w:rPr>
              <w:t>Input Extension</w:t>
            </w:r>
          </w:p>
        </w:tc>
        <w:tc>
          <w:tcPr>
            <w:tcW w:type="dxa" w:w="1440"/>
          </w:tcPr>
          <w:p>
            <w:r/>
            <w:r>
              <w:rPr>
                <w:b/>
              </w:rPr>
              <w:t>Processing Method</w:t>
            </w:r>
          </w:p>
        </w:tc>
        <w:tc>
          <w:tcPr>
            <w:tcW w:type="dxa" w:w="1440"/>
          </w:tcPr>
          <w:p>
            <w:r/>
            <w:r>
              <w:rPr>
                <w:b/>
              </w:rPr>
              <w:t>Output Formats</w:t>
            </w:r>
          </w:p>
        </w:tc>
        <w:tc>
          <w:tcPr>
            <w:tcW w:type="dxa" w:w="1440"/>
          </w:tcPr>
          <w:p>
            <w:r/>
            <w:r>
              <w:rPr>
                <w:b/>
              </w:rPr>
              <w:t>Quality</w:t>
            </w:r>
          </w:p>
        </w:tc>
        <w:tc>
          <w:tcPr>
            <w:tcW w:type="dxa" w:w="1440"/>
          </w:tcPr>
          <w:p>
            <w:r/>
            <w:r>
              <w:rPr>
                <w:b/>
              </w:rPr>
              <w:t>Use Case</w:t>
            </w:r>
          </w:p>
        </w:tc>
      </w:tr>
      <w:tr>
        <w:tc>
          <w:tcPr>
            <w:tcW w:type="dxa" w:w="1440"/>
          </w:tcPr>
          <w:p>
            <w:r/>
            <w:r>
              <w:rPr>
                <w:b/>
              </w:rPr>
              <w:t>Mermaid Diagrams</w:t>
            </w:r>
          </w:p>
        </w:tc>
        <w:tc>
          <w:tcPr>
            <w:tcW w:type="dxa" w:w="1440"/>
          </w:tcPr>
          <w:p>
            <w:r/>
            <w:r>
              <w:rPr>
                <w:rFonts w:ascii="Courier New" w:hAnsi="Courier New"/>
              </w:rPr>
              <w:t>.mmd</w:t>
            </w:r>
          </w:p>
        </w:tc>
        <w:tc>
          <w:tcPr>
            <w:tcW w:type="dxa" w:w="1440"/>
          </w:tcPr>
          <w:p>
            <w:r/>
            <w:r>
              <w:t>Mermaid CLI</w:t>
            </w:r>
          </w:p>
        </w:tc>
        <w:tc>
          <w:tcPr>
            <w:tcW w:type="dxa" w:w="1440"/>
          </w:tcPr>
          <w:p>
            <w:r/>
            <w:r>
              <w:t>SVG, PNG, PDF</w:t>
            </w:r>
          </w:p>
        </w:tc>
        <w:tc>
          <w:tcPr>
            <w:tcW w:type="dxa" w:w="1440"/>
          </w:tcPr>
          <w:p>
            <w:r/>
            <w:r>
              <w:t>Vector/Raster</w:t>
            </w:r>
          </w:p>
        </w:tc>
        <w:tc>
          <w:tcPr>
            <w:tcW w:type="dxa" w:w="1440"/>
          </w:tcPr>
          <w:p>
            <w:r/>
            <w:r>
              <w:t>Flowcharts, architectures</w:t>
            </w:r>
          </w:p>
        </w:tc>
      </w:tr>
      <w:tr>
        <w:tc>
          <w:tcPr>
            <w:tcW w:type="dxa" w:w="1440"/>
          </w:tcPr>
          <w:p>
            <w:r/>
            <w:r>
              <w:rPr>
                <w:b/>
              </w:rPr>
              <w:t>Python and R Figures</w:t>
            </w:r>
          </w:p>
        </w:tc>
        <w:tc>
          <w:tcPr>
            <w:tcW w:type="dxa" w:w="1440"/>
          </w:tcPr>
          <w:p>
            <w:r/>
            <w:r>
              <w:rPr>
                <w:rFonts w:ascii="Courier New" w:hAnsi="Courier New"/>
              </w:rPr>
              <w:t>.py</w:t>
            </w:r>
            <w:r>
              <w:t xml:space="preserve">, </w:t>
            </w:r>
            <w:r>
              <w:rPr>
                <w:rFonts w:ascii="Courier New" w:hAnsi="Courier New"/>
              </w:rPr>
              <w:t>.R</w:t>
            </w:r>
          </w:p>
        </w:tc>
        <w:tc>
          <w:tcPr>
            <w:tcW w:type="dxa" w:w="1440"/>
          </w:tcPr>
          <w:p>
            <w:r/>
            <w:r>
              <w:t>Script execution</w:t>
            </w:r>
          </w:p>
        </w:tc>
        <w:tc>
          <w:tcPr>
            <w:tcW w:type="dxa" w:w="1440"/>
          </w:tcPr>
          <w:p>
            <w:r/>
            <w:r>
              <w:t>PNG, PDF, SVG</w:t>
            </w:r>
          </w:p>
        </w:tc>
        <w:tc>
          <w:tcPr>
            <w:tcW w:type="dxa" w:w="1440"/>
          </w:tcPr>
          <w:p>
            <w:r/>
            <w:r>
              <w:t>Publication</w:t>
            </w:r>
          </w:p>
        </w:tc>
        <w:tc>
          <w:tcPr>
            <w:tcW w:type="dxa" w:w="1440"/>
          </w:tcPr>
          <w:p>
            <w:r/>
            <w:r>
              <w:t>Data visualisation</w:t>
            </w:r>
          </w:p>
        </w:tc>
      </w:tr>
      <w:tr>
        <w:tc>
          <w:tcPr>
            <w:tcW w:type="dxa" w:w="1440"/>
          </w:tcPr>
          <w:p>
            <w:r/>
            <w:r>
              <w:rPr>
                <w:b/>
              </w:rPr>
              <w:t>Static Images</w:t>
            </w:r>
          </w:p>
        </w:tc>
        <w:tc>
          <w:tcPr>
            <w:tcW w:type="dxa" w:w="1440"/>
          </w:tcPr>
          <w:p>
            <w:r/>
            <w:r>
              <w:rPr>
                <w:rFonts w:ascii="Courier New" w:hAnsi="Courier New"/>
              </w:rPr>
              <w:t>.png</w:t>
            </w:r>
            <w:r>
              <w:t xml:space="preserve">, </w:t>
            </w:r>
            <w:r>
              <w:rPr>
                <w:rFonts w:ascii="Courier New" w:hAnsi="Courier New"/>
              </w:rPr>
              <w:t>.jpg</w:t>
            </w:r>
            <w:r>
              <w:t xml:space="preserve">, </w:t>
            </w:r>
            <w:r>
              <w:rPr>
                <w:rFonts w:ascii="Courier New" w:hAnsi="Courier New"/>
              </w:rPr>
              <w:t>.svg</w:t>
            </w:r>
          </w:p>
        </w:tc>
        <w:tc>
          <w:tcPr>
            <w:tcW w:type="dxa" w:w="1440"/>
          </w:tcPr>
          <w:p>
            <w:r/>
            <w:r>
              <w:t>Direct inclusion</w:t>
            </w:r>
          </w:p>
        </w:tc>
        <w:tc>
          <w:tcPr>
            <w:tcW w:type="dxa" w:w="1440"/>
          </w:tcPr>
          <w:p>
            <w:r/>
            <w:r>
              <w:t>Same format</w:t>
            </w:r>
          </w:p>
        </w:tc>
        <w:tc>
          <w:tcPr>
            <w:tcW w:type="dxa" w:w="1440"/>
          </w:tcPr>
          <w:p>
            <w:r/>
            <w:r>
              <w:t>Original</w:t>
            </w:r>
          </w:p>
        </w:tc>
        <w:tc>
          <w:tcPr>
            <w:tcW w:type="dxa" w:w="1440"/>
          </w:tcPr>
          <w:p>
            <w:r/>
            <w:r>
              <w:t>Photographs, logos</w:t>
            </w:r>
          </w:p>
        </w:tc>
      </w:tr>
      <w:tr>
        <w:tc>
          <w:tcPr>
            <w:tcW w:type="dxa" w:w="1440"/>
          </w:tcPr>
          <w:p>
            <w:r/>
            <w:r>
              <w:rPr>
                <w:b/>
              </w:rPr>
              <w:t>LaTeX Graphics</w:t>
            </w:r>
          </w:p>
        </w:tc>
        <w:tc>
          <w:tcPr>
            <w:tcW w:type="dxa" w:w="1440"/>
          </w:tcPr>
          <w:p>
            <w:r/>
            <w:r>
              <w:rPr>
                <w:rFonts w:ascii="Courier New" w:hAnsi="Courier New"/>
              </w:rPr>
              <w:t>.tex</w:t>
            </w:r>
            <w:r>
              <w:t xml:space="preserve">, </w:t>
            </w:r>
            <w:r>
              <w:rPr>
                <w:rFonts w:ascii="Courier New" w:hAnsi="Courier New"/>
              </w:rPr>
              <w:t>.tikz</w:t>
            </w:r>
          </w:p>
        </w:tc>
        <w:tc>
          <w:tcPr>
            <w:tcW w:type="dxa" w:w="1440"/>
          </w:tcPr>
          <w:p>
            <w:r/>
            <w:r>
              <w:t>LaTeX compilation</w:t>
            </w:r>
          </w:p>
        </w:tc>
        <w:tc>
          <w:tcPr>
            <w:tcW w:type="dxa" w:w="1440"/>
          </w:tcPr>
          <w:p>
            <w:r/>
            <w:r>
              <w:t>PDF</w:t>
            </w:r>
          </w:p>
        </w:tc>
        <w:tc>
          <w:tcPr>
            <w:tcW w:type="dxa" w:w="1440"/>
          </w:tcPr>
          <w:p>
            <w:r/>
            <w:r>
              <w:t>Vector</w:t>
            </w:r>
          </w:p>
        </w:tc>
        <w:tc>
          <w:tcPr>
            <w:tcW w:type="dxa" w:w="1440"/>
          </w:tcPr>
          <w:p>
            <w:r/>
            <w:r>
              <w:t>Mathematical diagrams</w:t>
            </w:r>
          </w:p>
        </w:tc>
      </w:tr>
      <w:tr>
        <w:tc>
          <w:tcPr>
            <w:tcW w:type="dxa" w:w="1440"/>
          </w:tcPr>
          <w:p>
            <w:r/>
            <w:r>
              <w:rPr>
                <w:b/>
              </w:rPr>
              <w:t>Data Files</w:t>
            </w:r>
          </w:p>
        </w:tc>
        <w:tc>
          <w:tcPr>
            <w:tcW w:type="dxa" w:w="1440"/>
          </w:tcPr>
          <w:p>
            <w:r/>
            <w:r>
              <w:rPr>
                <w:rFonts w:ascii="Courier New" w:hAnsi="Courier New"/>
              </w:rPr>
              <w:t>.csv</w:t>
            </w:r>
            <w:r>
              <w:t xml:space="preserve">, </w:t>
            </w:r>
            <w:r>
              <w:rPr>
                <w:rFonts w:ascii="Courier New" w:hAnsi="Courier New"/>
              </w:rPr>
              <w:t>.json</w:t>
            </w:r>
            <w:r>
              <w:t xml:space="preserve">, </w:t>
            </w:r>
            <w:r>
              <w:rPr>
                <w:rFonts w:ascii="Courier New" w:hAnsi="Courier New"/>
              </w:rPr>
              <w:t>.xlsx</w:t>
            </w:r>
          </w:p>
        </w:tc>
        <w:tc>
          <w:tcPr>
            <w:tcW w:type="dxa" w:w="1440"/>
          </w:tcPr>
          <w:p>
            <w:r/>
            <w:r>
              <w:t>Python and R processing</w:t>
            </w:r>
          </w:p>
        </w:tc>
        <w:tc>
          <w:tcPr>
            <w:tcW w:type="dxa" w:w="1440"/>
          </w:tcPr>
          <w:p>
            <w:r/>
            <w:r>
              <w:t>Via scripts</w:t>
            </w:r>
          </w:p>
        </w:tc>
        <w:tc>
          <w:tcPr>
            <w:tcW w:type="dxa" w:w="1440"/>
          </w:tcPr>
          <w:p>
            <w:r/>
            <w:r>
              <w:t>Computed</w:t>
            </w:r>
          </w:p>
        </w:tc>
        <w:tc>
          <w:tcPr>
            <w:tcW w:type="dxa" w:w="1440"/>
          </w:tcPr>
          <w:p>
            <w:r/>
            <w:r>
              <w:t>Raw data integration</w:t>
            </w:r>
          </w:p>
        </w:tc>
      </w:tr>
    </w:tbl>
    <w:p/>
    <w:p>
      <w:pPr>
        <w:jc w:val="both"/>
      </w:pPr>
      <w:r>
        <w:rPr>
          <w:b/>
        </w:rPr>
        <w:t>Supported Figure Generation Methods.</w:t>
      </w:r>
      <w:r>
        <w:t xml:space="preserve"> Overview of the framework's figure processing capabilities, demonstrating support for both static and dynamic content generation with an emphasis on reproducible computational graphics.</w:t>
      </w:r>
    </w:p>
    <w:tbl>
      <w:tblPr>
        <w:tblStyle w:val="LightGrid-Accent1"/>
        <w:tblW w:type="auto" w:w="0"/>
        <w:tblLook w:firstColumn="1" w:firstRow="1" w:lastColumn="0" w:lastRow="0" w:noHBand="0" w:noVBand="1" w:val="04A0"/>
      </w:tblPr>
      <w:tblGrid>
        <w:gridCol w:w="1440"/>
        <w:gridCol w:w="1440"/>
        <w:gridCol w:w="1440"/>
        <w:gridCol w:w="1440"/>
        <w:gridCol w:w="1440"/>
        <w:gridCol w:w="1440"/>
      </w:tblGrid>
      <w:tr>
        <w:tc>
          <w:tcPr>
            <w:tcW w:type="dxa" w:w="1440"/>
          </w:tcPr>
          <w:p>
            <w:r/>
            <w:r>
              <w:rPr>
                <w:b/>
              </w:rPr>
              <w:t>Tool</w:t>
            </w:r>
          </w:p>
        </w:tc>
        <w:tc>
          <w:tcPr>
            <w:tcW w:type="dxa" w:w="1440"/>
          </w:tcPr>
          <w:p>
            <w:r/>
            <w:r>
              <w:rPr>
                <w:b/>
              </w:rPr>
              <w:t>Type</w:t>
            </w:r>
          </w:p>
        </w:tc>
        <w:tc>
          <w:tcPr>
            <w:tcW w:type="dxa" w:w="1440"/>
          </w:tcPr>
          <w:p>
            <w:r/>
            <w:r>
              <w:rPr>
                <w:b/>
              </w:rPr>
              <w:t>Markdown</w:t>
            </w:r>
          </w:p>
        </w:tc>
        <w:tc>
          <w:tcPr>
            <w:tcW w:type="dxa" w:w="1440"/>
          </w:tcPr>
          <w:p>
            <w:r/>
            <w:r>
              <w:rPr>
                <w:b/>
              </w:rPr>
              <w:t>Primary Use Case</w:t>
            </w:r>
          </w:p>
        </w:tc>
        <w:tc>
          <w:tcPr>
            <w:tcW w:type="dxa" w:w="1440"/>
          </w:tcPr>
          <w:p>
            <w:r/>
            <w:r>
              <w:rPr>
                <w:b/>
              </w:rPr>
              <w:t>Key Strengths</w:t>
            </w:r>
          </w:p>
        </w:tc>
        <w:tc>
          <w:tcPr>
            <w:tcW w:type="dxa" w:w="1440"/>
          </w:tcPr>
          <w:p>
            <w:r/>
            <w:r>
              <w:rPr>
                <w:b/>
              </w:rPr>
              <w:t>Open Source</w:t>
            </w:r>
          </w:p>
        </w:tc>
      </w:tr>
      <w:tr>
        <w:tc>
          <w:tcPr>
            <w:tcW w:type="dxa" w:w="1440"/>
          </w:tcPr>
          <w:p>
            <w:r/>
            <w:r>
              <w:rPr>
                <w:b/>
              </w:rPr>
              <w:t>Rxiv-Maker</w:t>
            </w:r>
          </w:p>
        </w:tc>
        <w:tc>
          <w:tcPr>
            <w:tcW w:type="dxa" w:w="1440"/>
          </w:tcPr>
          <w:p>
            <w:r/>
            <w:r>
              <w:t>Pipeline</w:t>
            </w:r>
          </w:p>
        </w:tc>
        <w:tc>
          <w:tcPr>
            <w:tcW w:type="dxa" w:w="1440"/>
          </w:tcPr>
          <w:p>
            <w:r/>
            <w:r>
              <w:t>Excellent</w:t>
            </w:r>
          </w:p>
        </w:tc>
        <w:tc>
          <w:tcPr>
            <w:tcW w:type="dxa" w:w="1440"/>
          </w:tcPr>
          <w:p>
            <w:r/>
            <w:r>
              <w:t>Reproducible preprints</w:t>
            </w:r>
          </w:p>
        </w:tc>
        <w:tc>
          <w:tcPr>
            <w:tcW w:type="dxa" w:w="1440"/>
          </w:tcPr>
          <w:p>
            <w:r/>
            <w:r>
              <w:t>Local-first execution, automated caching, rich CLI</w:t>
            </w:r>
          </w:p>
        </w:tc>
        <w:tc>
          <w:tcPr>
            <w:tcW w:type="dxa" w:w="1440"/>
          </w:tcPr>
          <w:p>
            <w:r/>
            <w:r>
              <w:t>Yes</w:t>
            </w:r>
          </w:p>
        </w:tc>
      </w:tr>
      <w:tr>
        <w:tc>
          <w:tcPr>
            <w:tcW w:type="dxa" w:w="1440"/>
          </w:tcPr>
          <w:p>
            <w:r/>
            <w:r>
              <w:rPr>
                <w:b/>
              </w:rPr>
              <w:t>Overleaf</w:t>
            </w:r>
            <w:r>
              <w:t xml:space="preserve"> </w:t>
            </w:r>
          </w:p>
        </w:tc>
        <w:tc>
          <w:tcPr>
            <w:tcW w:type="dxa" w:w="1440"/>
          </w:tcPr>
          <w:p>
            <w:r/>
            <w:r>
              <w:t>Web Editor</w:t>
            </w:r>
          </w:p>
        </w:tc>
        <w:tc>
          <w:tcPr>
            <w:tcW w:type="dxa" w:w="1440"/>
          </w:tcPr>
          <w:p>
            <w:r/>
            <w:r>
              <w:t>Limited</w:t>
            </w:r>
          </w:p>
        </w:tc>
        <w:tc>
          <w:tcPr>
            <w:tcW w:type="dxa" w:w="1440"/>
          </w:tcPr>
          <w:p>
            <w:r/>
            <w:r>
              <w:t>Collaborative LaTeX</w:t>
            </w:r>
          </w:p>
        </w:tc>
        <w:tc>
          <w:tcPr>
            <w:tcW w:type="dxa" w:w="1440"/>
          </w:tcPr>
          <w:p>
            <w:r/>
            <w:r>
              <w:t>Real-time collaboration, rich templates, cloud-based</w:t>
            </w:r>
          </w:p>
        </w:tc>
        <w:tc>
          <w:tcPr>
            <w:tcW w:type="dxa" w:w="1440"/>
          </w:tcPr>
          <w:p>
            <w:r/>
            <w:r>
              <w:t>Freemium</w:t>
            </w:r>
          </w:p>
        </w:tc>
      </w:tr>
      <w:tr>
        <w:tc>
          <w:tcPr>
            <w:tcW w:type="dxa" w:w="1440"/>
          </w:tcPr>
          <w:p>
            <w:r/>
            <w:r>
              <w:rPr>
                <w:b/>
              </w:rPr>
              <w:t>Quarto</w:t>
            </w:r>
            <w:r>
              <w:t xml:space="preserve"> </w:t>
            </w:r>
          </w:p>
        </w:tc>
        <w:tc>
          <w:tcPr>
            <w:tcW w:type="dxa" w:w="1440"/>
          </w:tcPr>
          <w:p>
            <w:r/>
            <w:r>
              <w:t>Publisher</w:t>
            </w:r>
          </w:p>
        </w:tc>
        <w:tc>
          <w:tcPr>
            <w:tcW w:type="dxa" w:w="1440"/>
          </w:tcPr>
          <w:p>
            <w:r/>
            <w:r>
              <w:t>Native</w:t>
            </w:r>
          </w:p>
        </w:tc>
        <w:tc>
          <w:tcPr>
            <w:tcW w:type="dxa" w:w="1440"/>
          </w:tcPr>
          <w:p>
            <w:r/>
            <w:r>
              <w:t>Multi-format publishing</w:t>
            </w:r>
          </w:p>
        </w:tc>
        <w:tc>
          <w:tcPr>
            <w:tcW w:type="dxa" w:w="1440"/>
          </w:tcPr>
          <w:p>
            <w:r/>
            <w:r>
              <w:t>Polyglot support, multiple outputs, scientific focus</w:t>
            </w:r>
          </w:p>
        </w:tc>
        <w:tc>
          <w:tcPr>
            <w:tcW w:type="dxa" w:w="1440"/>
          </w:tcPr>
          <w:p>
            <w:r/>
            <w:r>
              <w:t>Yes</w:t>
            </w:r>
          </w:p>
        </w:tc>
      </w:tr>
      <w:tr>
        <w:tc>
          <w:tcPr>
            <w:tcW w:type="dxa" w:w="1440"/>
          </w:tcPr>
          <w:p>
            <w:r/>
            <w:r>
              <w:rPr>
                <w:b/>
              </w:rPr>
              <w:t>Manubot</w:t>
            </w:r>
            <w:r>
              <w:t xml:space="preserve"> </w:t>
            </w:r>
          </w:p>
        </w:tc>
        <w:tc>
          <w:tcPr>
            <w:tcW w:type="dxa" w:w="1440"/>
          </w:tcPr>
          <w:p>
            <w:r/>
            <w:r>
              <w:t>Collaborative</w:t>
            </w:r>
          </w:p>
        </w:tc>
        <w:tc>
          <w:tcPr>
            <w:tcW w:type="dxa" w:w="1440"/>
          </w:tcPr>
          <w:p>
            <w:r/>
            <w:r>
              <w:t>Native</w:t>
            </w:r>
          </w:p>
        </w:tc>
        <w:tc>
          <w:tcPr>
            <w:tcW w:type="dxa" w:w="1440"/>
          </w:tcPr>
          <w:p>
            <w:r/>
            <w:r>
              <w:t>Version-controlled writing</w:t>
            </w:r>
          </w:p>
        </w:tc>
        <w:tc>
          <w:tcPr>
            <w:tcW w:type="dxa" w:w="1440"/>
          </w:tcPr>
          <w:p>
            <w:r/>
            <w:r>
              <w:t>Automated citations, transparent collaboration, Git-based</w:t>
            </w:r>
          </w:p>
        </w:tc>
        <w:tc>
          <w:tcPr>
            <w:tcW w:type="dxa" w:w="1440"/>
          </w:tcPr>
          <w:p>
            <w:r/>
            <w:r>
              <w:t>Yes</w:t>
            </w:r>
          </w:p>
        </w:tc>
      </w:tr>
      <w:tr>
        <w:tc>
          <w:tcPr>
            <w:tcW w:type="dxa" w:w="1440"/>
          </w:tcPr>
          <w:p>
            <w:r/>
            <w:r>
              <w:rPr>
                <w:b/>
              </w:rPr>
              <w:t>Pandoc</w:t>
            </w:r>
            <w:r>
              <w:t xml:space="preserve"> </w:t>
            </w:r>
          </w:p>
        </w:tc>
        <w:tc>
          <w:tcPr>
            <w:tcW w:type="dxa" w:w="1440"/>
          </w:tcPr>
          <w:p>
            <w:r/>
            <w:r>
              <w:t>Converter</w:t>
            </w:r>
          </w:p>
        </w:tc>
        <w:tc>
          <w:tcPr>
            <w:tcW w:type="dxa" w:w="1440"/>
          </w:tcPr>
          <w:p>
            <w:r/>
            <w:r>
              <w:t>Excellent</w:t>
            </w:r>
          </w:p>
        </w:tc>
        <w:tc>
          <w:tcPr>
            <w:tcW w:type="dxa" w:w="1440"/>
          </w:tcPr>
          <w:p>
            <w:r/>
            <w:r>
              <w:t>Format conversion</w:t>
            </w:r>
          </w:p>
        </w:tc>
        <w:tc>
          <w:tcPr>
            <w:tcW w:type="dxa" w:w="1440"/>
          </w:tcPr>
          <w:p>
            <w:r/>
            <w:r>
              <w:t>Universal format support, extensible filters</w:t>
            </w:r>
          </w:p>
        </w:tc>
        <w:tc>
          <w:tcPr>
            <w:tcW w:type="dxa" w:w="1440"/>
          </w:tcPr>
          <w:p>
            <w:r/>
            <w:r>
              <w:t>Yes</w:t>
            </w:r>
          </w:p>
        </w:tc>
      </w:tr>
      <w:tr>
        <w:tc>
          <w:tcPr>
            <w:tcW w:type="dxa" w:w="1440"/>
          </w:tcPr>
          <w:p>
            <w:r/>
            <w:r>
              <w:rPr>
                <w:b/>
              </w:rPr>
              <w:t>Typst</w:t>
            </w:r>
            <w:r>
              <w:t xml:space="preserve"> </w:t>
            </w:r>
          </w:p>
        </w:tc>
        <w:tc>
          <w:tcPr>
            <w:tcW w:type="dxa" w:w="1440"/>
          </w:tcPr>
          <w:p>
            <w:r/>
            <w:r>
              <w:t>Typesetter</w:t>
            </w:r>
          </w:p>
        </w:tc>
        <w:tc>
          <w:tcPr>
            <w:tcW w:type="dxa" w:w="1440"/>
          </w:tcPr>
          <w:p>
            <w:r/>
            <w:r>
              <w:t>Good</w:t>
            </w:r>
          </w:p>
        </w:tc>
        <w:tc>
          <w:tcPr>
            <w:tcW w:type="dxa" w:w="1440"/>
          </w:tcPr>
          <w:p>
            <w:r/>
            <w:r>
              <w:t>Modern typesetting</w:t>
            </w:r>
          </w:p>
        </w:tc>
        <w:tc>
          <w:tcPr>
            <w:tcW w:type="dxa" w:w="1440"/>
          </w:tcPr>
          <w:p>
            <w:r/>
            <w:r>
              <w:t>Fast compilation, modern syntax, growing ecosystem</w:t>
            </w:r>
          </w:p>
        </w:tc>
        <w:tc>
          <w:tcPr>
            <w:tcW w:type="dxa" w:w="1440"/>
          </w:tcPr>
          <w:p>
            <w:r/>
            <w:r>
              <w:t>Yes</w:t>
            </w:r>
          </w:p>
        </w:tc>
      </w:tr>
      <w:tr>
        <w:tc>
          <w:tcPr>
            <w:tcW w:type="dxa" w:w="1440"/>
          </w:tcPr>
          <w:p>
            <w:r/>
            <w:r>
              <w:rPr>
                <w:b/>
              </w:rPr>
              <w:t>Bookdown</w:t>
            </w:r>
            <w:r>
              <w:t xml:space="preserve"> </w:t>
            </w:r>
          </w:p>
        </w:tc>
        <w:tc>
          <w:tcPr>
            <w:tcW w:type="dxa" w:w="1440"/>
          </w:tcPr>
          <w:p>
            <w:r/>
            <w:r>
              <w:t>Publisher</w:t>
            </w:r>
          </w:p>
        </w:tc>
        <w:tc>
          <w:tcPr>
            <w:tcW w:type="dxa" w:w="1440"/>
          </w:tcPr>
          <w:p>
            <w:r/>
            <w:r>
              <w:t>R Markdown</w:t>
            </w:r>
          </w:p>
        </w:tc>
        <w:tc>
          <w:tcPr>
            <w:tcW w:type="dxa" w:w="1440"/>
          </w:tcPr>
          <w:p>
            <w:r/>
            <w:r>
              <w:t>Academic books</w:t>
            </w:r>
          </w:p>
        </w:tc>
        <w:tc>
          <w:tcPr>
            <w:tcW w:type="dxa" w:w="1440"/>
          </w:tcPr>
          <w:p>
            <w:r/>
            <w:r>
              <w:t>Cross-references, multiple formats</w:t>
            </w:r>
          </w:p>
        </w:tc>
        <w:tc>
          <w:tcPr>
            <w:tcW w:type="dxa" w:w="1440"/>
          </w:tcPr>
          <w:p>
            <w:r/>
            <w:r>
              <w:t>Yes</w:t>
            </w:r>
          </w:p>
        </w:tc>
      </w:tr>
      <w:tr>
        <w:tc>
          <w:tcPr>
            <w:tcW w:type="dxa" w:w="1440"/>
          </w:tcPr>
          <w:p>
            <w:r/>
            <w:r>
              <w:rPr>
                <w:b/>
              </w:rPr>
              <w:t>Direct LaTeX</w:t>
            </w:r>
          </w:p>
        </w:tc>
        <w:tc>
          <w:tcPr>
            <w:tcW w:type="dxa" w:w="1440"/>
          </w:tcPr>
          <w:p>
            <w:r/>
            <w:r>
              <w:t>Typesetter</w:t>
            </w:r>
          </w:p>
        </w:tc>
        <w:tc>
          <w:tcPr>
            <w:tcW w:type="dxa" w:w="1440"/>
          </w:tcPr>
          <w:p>
            <w:r/>
            <w:r>
              <w:t>None</w:t>
            </w:r>
          </w:p>
        </w:tc>
        <w:tc>
          <w:tcPr>
            <w:tcW w:type="dxa" w:w="1440"/>
          </w:tcPr>
          <w:p>
            <w:r/>
            <w:r>
              <w:t>Traditional publishing</w:t>
            </w:r>
          </w:p>
        </w:tc>
        <w:tc>
          <w:tcPr>
            <w:tcW w:type="dxa" w:w="1440"/>
          </w:tcPr>
          <w:p>
            <w:r/>
            <w:r>
              <w:t>Full control, established workflows, mature ecosystem</w:t>
            </w:r>
          </w:p>
        </w:tc>
        <w:tc>
          <w:tcPr>
            <w:tcW w:type="dxa" w:w="1440"/>
          </w:tcPr>
          <w:p>
            <w:r/>
            <w:r>
              <w:t>Yes</w:t>
            </w:r>
          </w:p>
        </w:tc>
      </w:tr>
    </w:tbl>
    <w:p/>
    <w:p>
      <w:pPr>
        <w:jc w:val="both"/>
      </w:pPr>
      <w:r>
        <w:rPr>
          <w:b/>
        </w:rPr>
        <w:t>Comparison of Manuscript Preparation Tools.</w:t>
      </w:r>
      <w:r>
        <w:t xml:space="preserve"> This comparison positions each tool within the scientific publishing ecosystem. Rxiv-Maker specialises in reproducible preprint workflows with local-first execution and developer-centric features. Other tools address distinct needs, such as real-time collaborative editing (Overleaf), multi-format output (Quarto), or version-controlled writing (Manubot).</w:t>
      </w:r>
    </w:p>
    <w:p>
      <w:pPr>
        <w:pStyle w:val="Heading2"/>
      </w:pPr>
      <w:r>
        <w:t>Supplementary Notes</w:t>
      </w:r>
    </w:p>
    <w:p>
      <w:pPr>
        <w:jc w:val="both"/>
      </w:pPr>
      <w:r>
        <w:rPr>
          <w:b/>
        </w:rPr>
        <w:t>A Getting Started Tutorial</w:t>
      </w:r>
    </w:p>
    <w:p>
      <w:pPr>
        <w:jc w:val="both"/>
      </w:pPr>
      <w:r>
        <w:t>To help new users begin with Rxiv-Maker, this tutorial provides a simple walkthrough for creating a minimal manuscript. The process starts with initialising a new project, which sets up the necessary directory structure and configuration files.</w:t>
      </w:r>
    </w:p>
    <w:p>
      <w:pPr>
        <w:jc w:val="both"/>
      </w:pPr>
      <w:r>
        <w:t xml:space="preserve">First, open a terminal and run the command </w:t>
      </w:r>
      <w:r>
        <w:rPr>
          <w:rFonts w:ascii="Courier New" w:hAnsi="Courier New"/>
          <w:sz w:val="20"/>
        </w:rPr>
        <w:t>rxiv init my_new_paper</w:t>
      </w:r>
      <w:r>
        <w:t xml:space="preserve">. This creates a new directory named </w:t>
      </w:r>
      <w:r>
        <w:rPr>
          <w:rFonts w:ascii="Courier New" w:hAnsi="Courier New"/>
          <w:sz w:val="20"/>
        </w:rPr>
        <w:t>my_new_paper</w:t>
      </w:r>
      <w:r>
        <w:t xml:space="preserve"> containing the essential files: </w:t>
      </w:r>
      <w:r>
        <w:rPr>
          <w:rFonts w:ascii="Courier New" w:hAnsi="Courier New"/>
          <w:sz w:val="20"/>
        </w:rPr>
        <w:t>00_CONFIG.yml</w:t>
      </w:r>
      <w:r>
        <w:t xml:space="preserve"> for manuscript metadata, </w:t>
      </w:r>
      <w:r>
        <w:rPr>
          <w:rFonts w:ascii="Courier New" w:hAnsi="Courier New"/>
          <w:sz w:val="20"/>
        </w:rPr>
        <w:t>01_MAIN.md</w:t>
      </w:r>
      <w:r>
        <w:t xml:space="preserve"> for the main text, </w:t>
      </w:r>
      <w:r>
        <w:rPr>
          <w:rFonts w:ascii="Courier New" w:hAnsi="Courier New"/>
          <w:sz w:val="20"/>
        </w:rPr>
        <w:t>02_SUPPLEMENTARY_INFO.md</w:t>
      </w:r>
      <w:r>
        <w:t xml:space="preserve"> for supplementary content, and </w:t>
      </w:r>
      <w:r>
        <w:rPr>
          <w:rFonts w:ascii="Courier New" w:hAnsi="Courier New"/>
          <w:sz w:val="20"/>
        </w:rPr>
        <w:t>03_REFERENCES.bib</w:t>
      </w:r>
      <w:r>
        <w:t xml:space="preserve"> for the bibliography. The system also creates subdirectories for </w:t>
      </w:r>
      <w:r>
        <w:rPr>
          <w:rFonts w:ascii="Courier New" w:hAnsi="Courier New"/>
          <w:sz w:val="20"/>
        </w:rPr>
        <w:t>FIGURES</w:t>
      </w:r>
      <w:r>
        <w:t xml:space="preserve"> and </w:t>
      </w:r>
      <w:r>
        <w:rPr>
          <w:rFonts w:ascii="Courier New" w:hAnsi="Courier New"/>
          <w:sz w:val="20"/>
        </w:rPr>
        <w:t>DATA</w:t>
      </w:r>
      <w:r>
        <w:t>.</w:t>
      </w:r>
    </w:p>
    <w:p>
      <w:pPr>
        <w:jc w:val="both"/>
      </w:pPr>
      <w:r>
        <w:t xml:space="preserve">Next, you can edit the </w:t>
      </w:r>
      <w:r>
        <w:rPr>
          <w:rFonts w:ascii="Courier New" w:hAnsi="Courier New"/>
          <w:sz w:val="20"/>
        </w:rPr>
        <w:t>01_MAIN.md</w:t>
      </w:r>
      <w:r>
        <w:t xml:space="preserve"> file to add your text. You can use standard Markdown for formatting, such as </w:t>
      </w:r>
      <w:r>
        <w:rPr>
          <w:rFonts w:ascii="Courier New" w:hAnsi="Courier New"/>
          <w:sz w:val="20"/>
        </w:rPr>
        <w:t>#</w:t>
      </w:r>
      <w:r>
        <w:t xml:space="preserve"> for headings and </w:t>
      </w:r>
      <w:r>
        <w:rPr>
          <w:rFonts w:ascii="Courier New" w:hAnsi="Courier New"/>
          <w:sz w:val="20"/>
        </w:rPr>
        <w:t>*</w:t>
      </w:r>
      <w:r>
        <w:t xml:space="preserve"> for italics. To add a citation, simply use the </w:t>
      </w:r>
      <w:r>
        <w:rPr>
          <w:rFonts w:ascii="Courier New" w:hAnsi="Courier New"/>
          <w:sz w:val="20"/>
        </w:rPr>
        <w:t>[31]</w:t>
      </w:r>
      <w:r>
        <w:t xml:space="preserve"> syntax, where </w:t>
      </w:r>
      <w:r>
        <w:rPr>
          <w:rFonts w:ascii="Courier New" w:hAnsi="Courier New"/>
          <w:sz w:val="20"/>
        </w:rPr>
        <w:t>key</w:t>
      </w:r>
      <w:r>
        <w:t xml:space="preserve"> corresponds to an entry in your </w:t>
      </w:r>
      <w:r>
        <w:rPr>
          <w:rFonts w:ascii="Courier New" w:hAnsi="Courier New"/>
          <w:sz w:val="20"/>
        </w:rPr>
        <w:t>.bib</w:t>
      </w:r>
      <w:r>
        <w:t xml:space="preserve"> file. For example, to cite the original literate programming paper, you would write </w:t>
      </w:r>
      <w:r>
        <w:rPr>
          <w:rFonts w:ascii="Courier New" w:hAnsi="Courier New"/>
          <w:sz w:val="20"/>
        </w:rPr>
        <w:t>[23]</w:t>
      </w:r>
      <w:r>
        <w:t>.</w:t>
      </w:r>
    </w:p>
    <w:p>
      <w:pPr>
        <w:jc w:val="both"/>
      </w:pPr>
      <w:r>
        <w:t>To build the PDF, navigate into the project directory (</w:t>
      </w:r>
      <w:r>
        <w:rPr>
          <w:rFonts w:ascii="Courier New" w:hAnsi="Courier New"/>
          <w:sz w:val="20"/>
        </w:rPr>
        <w:t>cd my_new_paper</w:t>
      </w:r>
      <w:r>
        <w:t xml:space="preserve">) and run the command </w:t>
      </w:r>
      <w:r>
        <w:rPr>
          <w:rFonts w:ascii="Courier New" w:hAnsi="Courier New"/>
          <w:sz w:val="20"/>
        </w:rPr>
        <w:t>rxiv pdf</w:t>
      </w:r>
      <w:r>
        <w:t xml:space="preserve">. The framework will process your files, execute any embedded code, and generate a professionally typeset PDF in the </w:t>
      </w:r>
      <w:r>
        <w:rPr>
          <w:rFonts w:ascii="Courier New" w:hAnsi="Courier New"/>
          <w:sz w:val="20"/>
        </w:rPr>
        <w:t>output</w:t>
      </w:r>
      <w:r>
        <w:t xml:space="preserve"> directory. If you encounter any issues, running </w:t>
      </w:r>
      <w:r>
        <w:rPr>
          <w:rFonts w:ascii="Courier New" w:hAnsi="Courier New"/>
          <w:sz w:val="20"/>
        </w:rPr>
        <w:t>rxiv validate</w:t>
      </w:r>
      <w:r>
        <w:t xml:space="preserve"> provides a detailed check of your manuscript's integrity, flagging common problems like missing figures or broken citations.</w:t>
      </w:r>
    </w:p>
    <w:p>
      <w:pPr>
        <w:jc w:val="both"/>
      </w:pPr>
      <w:r>
        <w:t>This straightforward process allows you to get from a blank slate to a compiled PDF in minutes, providing a solid foundation that you can then build upon with more advanced features like programmatic figures and tables.</w:t>
      </w:r>
    </w:p>
    <w:p>
      <w:pPr>
        <w:jc w:val="both"/>
      </w:pPr>
      <w:r>
        <w:rPr>
          <w:b/>
        </w:rPr>
        <w:t>Rxiv-Maker Markdown Syntax and Advanced LaTeX Integration</w:t>
      </w:r>
    </w:p>
    <w:p>
      <w:pPr>
        <w:jc w:val="both"/>
      </w:pPr>
      <w:r>
        <w:t xml:space="preserve">This comprehensive reference demonstrates the automated translation system that enables researchers to write in familiar markdown syntax whilst producing professional LaTeX output. The table below showcases both the standard Markdown-to-LaTeX translations and serves as a perfect example of Rxiv-Maker's </w:t>
      </w:r>
      <w:r>
        <w:rPr>
          <w:rFonts w:ascii="Courier New" w:hAnsi="Courier New"/>
          <w:sz w:val="20"/>
        </w:rPr>
        <w:t>{{tex:...}}</w:t>
      </w:r>
      <w:r>
        <w:t xml:space="preserve"> blocks, which allow direct LaTeX injection for advanced formatting needs.</w:t>
      </w:r>
    </w:p>
    <w:p>
      <w:pPr>
        <w:jc w:val="both"/>
      </w:pPr>
      <w:r>
        <w:t xml:space="preserve">For complex table structures that require precise control over formatting, multi-column headers, or mathematical notation, Rxiv-Maker's </w:t>
      </w:r>
      <w:r>
        <w:rPr>
          <w:rFonts w:ascii="Courier New" w:hAnsi="Courier New"/>
          <w:sz w:val="20"/>
        </w:rPr>
        <w:t>{{tex:...}}</w:t>
      </w:r>
      <w:r>
        <w:t xml:space="preserve"> syntax provides full access to LaTeX's typesetting capabilities. This table itself was created using </w:t>
      </w:r>
      <w:r>
        <w:rPr>
          <w:rFonts w:ascii="Courier New" w:hAnsi="Courier New"/>
          <w:sz w:val="20"/>
        </w:rPr>
        <w:t>{{tex:...}}</w:t>
      </w:r>
      <w:r>
        <w:t xml:space="preserve"> blocks, demonstrating how raw LaTeX can be seamlessly integrated into Markdown documents while maintaining the tex block protection system that prevents markdown processing of LaTeX-specific syntax.</w:t>
      </w:r>
    </w:p>
    <w:p>
      <w:pPr>
        <w:jc w:val="both"/>
      </w:pPr>
      <w:r>
        <w:t>---</w:t>
      </w:r>
    </w:p>
    <w:p>
      <w:pPr>
        <w:jc w:val="both"/>
      </w:pPr>
      <w:r>
        <w:rPr>
          <w:b/>
          <w:highlight w:val="yellow"/>
        </w:rPr>
        <w:t>[LaTeX Table - Please refer to the PDF version for proper table formatting]</w:t>
      </w:r>
    </w:p>
    <w:p>
      <w:pPr>
        <w:jc w:val="both"/>
      </w:pPr>
      <w:r>
        <w:rPr>
          <w:i/>
          <w:highlight w:val="yellow"/>
        </w:rPr>
        <w:t>This section contains a complex LaTeX table that cannot be displayed in Word format. The table shows the Markdown-to-LaTeX syntax reference with formatting examples.</w:t>
      </w:r>
    </w:p>
    <w:p>
      <w:pPr>
        <w:jc w:val="both"/>
      </w:pPr>
      <w:r>
        <w:t>---</w:t>
      </w:r>
    </w:p>
    <w:p>
      <w:pPr>
        <w:jc w:val="both"/>
      </w:pPr>
      <w:r>
        <w:rPr>
          <w:b/>
        </w:rPr>
        <w:t>Programmatic Figure Generation</w:t>
      </w:r>
    </w:p>
    <w:p>
      <w:pPr>
        <w:jc w:val="both"/>
      </w:pPr>
      <w:r>
        <w:t>Rxiv-Maker's figure generation capabilities are designed to ensure a transparent and reproducible connection between your data and your final visualisations. The system supports two main approaches for creating figures programmatically: script-based generation using Python or R, and diagram rendering from text-based descriptions using Mermaid.</w:t>
      </w:r>
    </w:p>
    <w:p>
      <w:pPr>
        <w:jc w:val="both"/>
      </w:pPr>
      <w:r>
        <w:t xml:space="preserve">For script-based figures, you place your </w:t>
      </w:r>
      <w:r>
        <w:rPr>
          <w:rFonts w:ascii="Courier New" w:hAnsi="Courier New"/>
          <w:sz w:val="20"/>
        </w:rPr>
        <w:t>.py</w:t>
      </w:r>
      <w:r>
        <w:t xml:space="preserve"> or </w:t>
      </w:r>
      <w:r>
        <w:rPr>
          <w:rFonts w:ascii="Courier New" w:hAnsi="Courier New"/>
          <w:sz w:val="20"/>
        </w:rPr>
        <w:t>.R</w:t>
      </w:r>
      <w:r>
        <w:t xml:space="preserve"> scripts in the </w:t>
      </w:r>
      <w:r>
        <w:rPr>
          <w:rFonts w:ascii="Courier New" w:hAnsi="Courier New"/>
          <w:sz w:val="20"/>
        </w:rPr>
        <w:t>FIGURES</w:t>
      </w:r>
      <w:r>
        <w:t xml:space="preserve"> directory. These scripts often leverage powerful plotting libraries such as Matplotlib </w:t>
      </w:r>
      <w:r>
        <w:rPr>
          <w:sz w:val="20"/>
          <w:highlight w:val="yellow"/>
        </w:rPr>
        <w:t>[24]</w:t>
      </w:r>
      <w:r>
        <w:t xml:space="preserve"> or Seaborn </w:t>
      </w:r>
      <w:r>
        <w:rPr>
          <w:sz w:val="20"/>
          <w:highlight w:val="yellow"/>
        </w:rPr>
        <w:t>[25]</w:t>
      </w:r>
      <w:r>
        <w:t xml:space="preserve">. During compilation, Rxiv-Maker executes these scripts, and any image files they save (e.g., PNG, PDF, SVG) are automatically detected and can be included in your manuscript. This ensures your visualisations are always synchronised with the underlying data and analysis, as a change in one will trigger the regeneration of the other. This is the method used to produce </w:t>
      </w:r>
      <w:r>
        <w:rPr>
          <w:highlight w:val="yellow"/>
        </w:rPr>
        <w:t>Supp. Fig. 1</w:t>
      </w:r>
      <w:r>
        <w:t xml:space="preserve"> and </w:t>
      </w:r>
      <w:r>
        <w:rPr>
          <w:highlight w:val="yellow"/>
        </w:rPr>
        <w:t>Supp. Fig. 2</w:t>
      </w:r>
      <w:r>
        <w:t>.</w:t>
      </w:r>
    </w:p>
    <w:p>
      <w:pPr>
        <w:jc w:val="both"/>
      </w:pPr>
      <w:r>
        <w:t xml:space="preserve">For diagrams, such as flowcharts or system architectures, you can use Mermaid </w:t>
      </w:r>
      <w:r>
        <w:rPr>
          <w:sz w:val="20"/>
          <w:highlight w:val="yellow"/>
        </w:rPr>
        <w:t>[26]</w:t>
      </w:r>
      <w:r>
        <w:t xml:space="preserve">. You create a </w:t>
      </w:r>
      <w:r>
        <w:rPr>
          <w:rFonts w:ascii="Courier New" w:hAnsi="Courier New"/>
          <w:sz w:val="20"/>
        </w:rPr>
        <w:t>.mmd</w:t>
      </w:r>
      <w:r>
        <w:t xml:space="preserve"> file containing a text-based description of your diagram. The framework uses the Mermaid command-line tool to render this description into a vector or raster image. This allows your diagrams to be version-controlled just like code, making them easy to modify and track over time.</w:t>
      </w:r>
    </w:p>
    <w:p>
      <w:pPr>
        <w:jc w:val="both"/>
      </w:pPr>
      <w:r>
        <w:rPr>
          <w:b/>
        </w:rPr>
        <w:t>Mathematical Formula Support</w:t>
      </w:r>
    </w:p>
    <w:p>
      <w:pPr>
        <w:jc w:val="both"/>
      </w:pPr>
      <w:r>
        <w:t>Rxiv-Maker seamlessly integrates mathematical notation by translating Markdown-style expressions into high-quality LaTeX mathematics. This allows you to write complex mathematical content using simple, familiar syntax.</w:t>
      </w:r>
    </w:p>
    <w:p>
      <w:pPr>
        <w:jc w:val="both"/>
      </w:pPr>
      <w:r>
        <w:t>For inline mathematics, you can use single dollar sign delimiters (</w:t>
      </w:r>
      <w:r>
        <w:rPr>
          <w:rFonts w:ascii="Courier New" w:hAnsi="Courier New"/>
          <w:sz w:val="20"/>
        </w:rPr>
        <w:t>$...$</w:t>
      </w:r>
      <w:r>
        <w:t xml:space="preserve">), allowing formulas like </w:t>
      </w:r>
      <m:oMath>
        <m:r>
          <m:t>E=mc2</m:t>
        </m:r>
      </m:oMath>
      <w:r>
        <w:t xml:space="preserve"> to be embedded directly within your text. For larger, display-style equations, you can use double dollar signs (</w:t>
      </w:r>
      <w:r>
        <w:rPr>
          <w:rFonts w:ascii="Courier New" w:hAnsi="Courier New"/>
          <w:sz w:val="20"/>
        </w:rPr>
        <w:t>$$...$$</w:t>
      </w:r>
      <w:r>
        <w:t>) to centre the expression on its own line. For example:</w:t>
      </w:r>
    </w:p>
    <w:p>
      <w:pPr>
        <w:spacing w:after="240"/>
        <w:jc w:val="center"/>
      </w:pPr>
      <w:r>
        <w:rPr>
          <w:i/>
          <w:sz w:val="18"/>
        </w:rPr>
        <w:t>[Equation - see PDF for proper rendering]</w:t>
        <w:br/>
      </w:r>
      <w:r>
        <w:rPr>
          <w:rFonts w:ascii="Courier New" w:hAnsi="Courier New"/>
          <w:sz w:val="20"/>
        </w:rPr>
        <w:t>i\hbar\frac{\partial}{\partial t}\Psi(\mathbf{r},t) = \hat{H}\Psi(\mathbf{r},t)</w:t>
      </w:r>
    </w:p>
    <w:p>
      <w:pPr>
        <w:jc w:val="both"/>
      </w:pPr>
      <w:r>
        <w:t>The framework's multi-pass translator is designed to protect these mathematical expressions, ensuring they are not accidentally altered during the conversion from Markdown to LaTeX. This robust system supports a wide range of mathematical and statistical notation, from simple symbols to complex multi-line equations, ensuring your quantitative work is always presented clearly and professionally.</w:t>
      </w:r>
    </w:p>
    <w:p>
      <w:pPr>
        <w:jc w:val="both"/>
      </w:pPr>
      <w:r>
        <w:rPr>
          <w:b/>
        </w:rPr>
        <w:t>Intelligent Caching and Validation</w:t>
      </w:r>
    </w:p>
    <w:p>
      <w:pPr>
        <w:jc w:val="both"/>
      </w:pPr>
      <w:r>
        <w:t>To accelerate compilation, Rxiv-Maker uses an intelligent caching system that avoids redundant work. It operates by generating a checksum—a unique digital signature—for each figure's dependencies, including the source script and any input data files. A figure is only regenerated if this checksum changes, meaning you can recompile your manuscript rapidly during writing, as only the modified components are rebuilt. This saves considerable time without sacrificing the reproducibility of the final document.</w:t>
      </w:r>
    </w:p>
    <w:p>
      <w:pPr>
        <w:jc w:val="both"/>
      </w:pPr>
      <w:r>
        <w:t xml:space="preserve">Complementing this is a powerful validation framework that acts as a quality-control mechanism. Running </w:t>
      </w:r>
      <w:r>
        <w:rPr>
          <w:rFonts w:ascii="Courier New" w:hAnsi="Courier New"/>
          <w:sz w:val="20"/>
        </w:rPr>
        <w:t>rxiv validate</w:t>
      </w:r>
      <w:r>
        <w:t xml:space="preserve"> performs a multi-level check of your manuscript. Before compilation, it looks for missing figure files, broken cross-references, and malformed bibliography entries. During compilation, it parses LaTeX logs to provide clear, understandable error messages. After compilation, it even performs a lightweight scan of the PDF to flag potential rendering issues. This ensures your manuscript is technically sound at every stage.</w:t>
      </w:r>
    </w:p>
    <w:p>
      <w:pPr>
        <w:pStyle w:val="Heading2"/>
      </w:pPr>
      <w:r>
        <w:t>Supplementary Figures</w:t>
      </w:r>
    </w:p>
    <w:p>
      <w:r>
        <w:drawing>
          <wp:inline xmlns:a="http://schemas.openxmlformats.org/drawingml/2006/main" xmlns:pic="http://schemas.openxmlformats.org/drawingml/2006/picture">
            <wp:extent cx="5486400" cy="6309360"/>
            <wp:docPr id="4" name="Picture 4"/>
            <wp:cNvGraphicFramePr>
              <a:graphicFrameLocks noChangeAspect="1"/>
            </wp:cNvGraphicFramePr>
            <a:graphic>
              <a:graphicData uri="http://schemas.openxmlformats.org/drawingml/2006/picture">
                <pic:pic>
                  <pic:nvPicPr>
                    <pic:cNvPr id="0" name="image.png"/>
                    <pic:cNvPicPr/>
                  </pic:nvPicPr>
                  <pic:blipFill>
                    <a:blip r:embed="rId17"/>
                    <a:stretch>
                      <a:fillRect/>
                    </a:stretch>
                  </pic:blipFill>
                  <pic:spPr>
                    <a:xfrm>
                      <a:off x="0" y="0"/>
                      <a:ext cx="5486400" cy="6309360"/>
                    </a:xfrm>
                    <a:prstGeom prst="rect"/>
                  </pic:spPr>
                </pic:pic>
              </a:graphicData>
            </a:graphic>
          </wp:inline>
        </w:drawing>
      </w:r>
    </w:p>
    <w:p>
      <w:pPr>
        <w:jc w:val="both"/>
      </w:pPr>
      <w:r>
        <w:rPr>
          <w:b/>
        </w:rPr>
        <w:t>The growth of preprint submissions on the arXiv server (1991-2025).</w:t>
      </w:r>
      <w:r>
        <w:t xml:space="preserve"> This figure was generated from public arXiv statistics using a Python script executed by the Rxiv-Maker pipeline, demonstrating reproducible, data-driven visualisation.</w:t>
      </w:r>
    </w:p>
    <w:p>
      <w:r>
        <w:drawing>
          <wp:inline xmlns:a="http://schemas.openxmlformats.org/drawingml/2006/main" xmlns:pic="http://schemas.openxmlformats.org/drawingml/2006/picture">
            <wp:extent cx="5486400" cy="5225143"/>
            <wp:docPr id="5" name="Picture 5"/>
            <wp:cNvGraphicFramePr>
              <a:graphicFrameLocks noChangeAspect="1"/>
            </wp:cNvGraphicFramePr>
            <a:graphic>
              <a:graphicData uri="http://schemas.openxmlformats.org/drawingml/2006/picture">
                <pic:pic>
                  <pic:nvPicPr>
                    <pic:cNvPr id="0" name="image.png"/>
                    <pic:cNvPicPr/>
                  </pic:nvPicPr>
                  <pic:blipFill>
                    <a:blip r:embed="rId18"/>
                    <a:stretch>
                      <a:fillRect/>
                    </a:stretch>
                  </pic:blipFill>
                  <pic:spPr>
                    <a:xfrm>
                      <a:off x="0" y="0"/>
                      <a:ext cx="5486400" cy="5225143"/>
                    </a:xfrm>
                    <a:prstGeom prst="rect"/>
                  </pic:spPr>
                </pic:pic>
              </a:graphicData>
            </a:graphic>
          </wp:inline>
        </w:drawing>
      </w:r>
    </w:p>
    <w:p>
      <w:pPr>
        <w:jc w:val="both"/>
      </w:pPr>
      <w:r>
        <w:rPr>
          <w:b/>
        </w:rPr>
        <w:t>Preprint Submission Trends Across Multiple Servers (2018-2025).</w:t>
      </w:r>
      <w:r>
        <w:t xml:space="preserve"> This figure, showing preprints indexed by PubMed from major repositories, was generated from public data </w:t>
      </w:r>
      <w:r>
        <w:rPr>
          <w:sz w:val="20"/>
          <w:highlight w:val="yellow"/>
        </w:rPr>
        <w:t>[27]</w:t>
      </w:r>
      <w:r>
        <w:t xml:space="preserve"> using a reproducible R script within the Rxiv-Maker pipeline.</w:t>
      </w:r>
    </w:p>
    <w:p>
      <w:r>
        <w:drawing>
          <wp:inline xmlns:a="http://schemas.openxmlformats.org/drawingml/2006/main" xmlns:pic="http://schemas.openxmlformats.org/drawingml/2006/picture">
            <wp:extent cx="5486400" cy="3323455"/>
            <wp:docPr id="6" name="Picture 6"/>
            <wp:cNvGraphicFramePr>
              <a:graphicFrameLocks noChangeAspect="1"/>
            </wp:cNvGraphicFramePr>
            <a:graphic>
              <a:graphicData uri="http://schemas.openxmlformats.org/drawingml/2006/picture">
                <pic:pic>
                  <pic:nvPicPr>
                    <pic:cNvPr id="0" name="SFigure__vscode_extension.png"/>
                    <pic:cNvPicPr/>
                  </pic:nvPicPr>
                  <pic:blipFill>
                    <a:blip r:embed="rId19"/>
                    <a:stretch>
                      <a:fillRect/>
                    </a:stretch>
                  </pic:blipFill>
                  <pic:spPr>
                    <a:xfrm>
                      <a:off x="0" y="0"/>
                      <a:ext cx="5486400" cy="3323455"/>
                    </a:xfrm>
                    <a:prstGeom prst="rect"/>
                  </pic:spPr>
                </pic:pic>
              </a:graphicData>
            </a:graphic>
          </wp:inline>
        </w:drawing>
      </w:r>
    </w:p>
    <w:p>
      <w:pPr>
        <w:jc w:val="both"/>
      </w:pPr>
      <w:r>
        <w:rPr>
          <w:b/>
        </w:rPr>
        <w:t>The Rxiv-Maker Visual Studio Code Extension.</w:t>
      </w:r>
      <w:r>
        <w:t xml:space="preserve"> The extension enhances the authoring experience by providing syntax highlighting for extended Markdown, autocompletion for citation keys (e.g., </w:t>
      </w:r>
      <w:r>
        <w:rPr>
          <w:rFonts w:ascii="Courier New" w:hAnsi="Courier New"/>
          <w:sz w:val="20"/>
        </w:rPr>
        <w:t>[32]...</w:t>
      </w:r>
      <w:r>
        <w:t>), and real-time validation to catch errors as you type.</w:t>
      </w:r>
    </w:p>
    <w:p>
      <w:r>
        <w:drawing>
          <wp:inline xmlns:a="http://schemas.openxmlformats.org/drawingml/2006/main" xmlns:pic="http://schemas.openxmlformats.org/drawingml/2006/picture">
            <wp:extent cx="5486400" cy="4620768"/>
            <wp:docPr id="7" name="Picture 7"/>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5486400" cy="4620768"/>
                    </a:xfrm>
                    <a:prstGeom prst="rect"/>
                  </pic:spPr>
                </pic:pic>
              </a:graphicData>
            </a:graphic>
          </wp:inline>
        </w:drawing>
      </w:r>
    </w:p>
    <w:p>
      <w:pPr>
        <w:jc w:val="both"/>
      </w:pPr>
      <w:r>
        <w:rPr>
          <w:b/>
        </w:rPr>
        <w:t>Detailed System Architecture.</w:t>
      </w:r>
      <w:r>
        <w:t xml:space="preserve"> A comprehensive technical diagram of the Rxiv-Maker architecture, illustrating the input layers, the processing engine's components (parsers, converters, generators), the compilation infrastructure, and the final output generation. This figure highlights the modular design that enables robust and reproducible manuscript compilation.</w:t>
      </w:r>
    </w:p>
    <w:p>
      <w:r>
        <w:br w:type="page"/>
      </w:r>
    </w:p>
    <w:p>
      <w:pPr>
        <w:pStyle w:val="Heading1"/>
      </w:pPr>
      <w:r>
        <w:t>Bibliography</w:t>
      </w:r>
    </w:p>
    <w:p>
      <w:pPr>
        <w:spacing w:after="120"/>
      </w:pPr>
      <w:r>
        <w:rPr>
          <w:b/>
        </w:rPr>
        <w:t xml:space="preserve">[1] </w:t>
      </w:r>
      <w:r>
        <w:t>Beck, Jeffrey and Ferguson, Christine A and Funk, Kathryn and Hanson, Brooks and Harrison, Melissa and Ide-Smith, Michele and Lammey, Rachael and Levchenko, Maria and Mendonca, Alex and Parkin, Michael and Penfold, Naomi and Pfeiffer, Nicole and Polka, Jessica and Puebla, Iratxe and Rieger, Oya Y and Rittman, Martyn and Sever, Richard and Swaminathan, Sowmya (2020). Building trust in preprints: recommendations for servers and other stakeholders.</w:t>
      </w:r>
      <w:r>
        <w:t xml:space="preserve"> </w:t>
      </w:r>
      <w:hyperlink r:id="rId21">
        <w:r>
          <w:rPr>
            <w:u w:val="single"/>
            <w:color w:val="0000FF"/>
            <w:highlight w:val="yellow"/>
          </w:rPr>
          <w:t>https://doi.org/10.31219/osf.io/8dn4w</w:t>
        </w:r>
      </w:hyperlink>
    </w:p>
    <w:p>
      <w:pPr>
        <w:spacing w:after="120"/>
      </w:pPr>
      <w:r>
        <w:rPr>
          <w:b/>
        </w:rPr>
        <w:t xml:space="preserve">[2] </w:t>
      </w:r>
      <w:r>
        <w:t>Levchenko, Mariia and Parkin, Michael and McEntyre, Johanna and Harrison, Melissa (2024). Enabling preprint discovery, evaluation, and analysis with Europe PMC.</w:t>
      </w:r>
      <w:r>
        <w:t xml:space="preserve"> </w:t>
      </w:r>
      <w:hyperlink r:id="rId22">
        <w:r>
          <w:rPr>
            <w:u w:val="single"/>
            <w:color w:val="0000FF"/>
            <w:highlight w:val="yellow"/>
          </w:rPr>
          <w:t>https://doi.org/10.1101/2024.04.19.590240</w:t>
        </w:r>
      </w:hyperlink>
    </w:p>
    <w:p>
      <w:pPr>
        <w:spacing w:after="120"/>
      </w:pPr>
      <w:r>
        <w:rPr>
          <w:b/>
        </w:rPr>
        <w:t xml:space="preserve">[3] </w:t>
      </w:r>
      <w:r>
        <w:t>Fraser, Nicholas and Momeni, Fakhri and Mayr, Philipp and Peters, Isabella (2020). The relationship between bioRxiv preprints, citations and altmetrics. Quantitative Science Studies 1(2): 618–638.</w:t>
      </w:r>
      <w:r>
        <w:t xml:space="preserve"> </w:t>
      </w:r>
      <w:hyperlink r:id="rId23">
        <w:r>
          <w:rPr>
            <w:u w:val="single"/>
            <w:color w:val="0000FF"/>
            <w:highlight w:val="yellow"/>
          </w:rPr>
          <w:t>https://doi.org/10.1162/qss_a_00043</w:t>
        </w:r>
      </w:hyperlink>
    </w:p>
    <w:p>
      <w:pPr>
        <w:spacing w:after="120"/>
      </w:pPr>
      <w:r>
        <w:rPr>
          <w:b/>
        </w:rPr>
        <w:t xml:space="preserve">[4] </w:t>
      </w:r>
      <w:r>
        <w:t>Vale, Ronald D (2015). Accelerating scientific publication in biology. Proceedings of the National Academy of Sciences 112(44): 13439–13446.</w:t>
      </w:r>
      <w:r>
        <w:t xml:space="preserve"> </w:t>
      </w:r>
      <w:hyperlink r:id="rId24">
        <w:r>
          <w:rPr>
            <w:u w:val="single"/>
            <w:color w:val="0000FF"/>
            <w:highlight w:val="yellow"/>
          </w:rPr>
          <w:t>https://doi.org/10.1073/pnas.1511912112</w:t>
        </w:r>
      </w:hyperlink>
    </w:p>
    <w:p>
      <w:pPr>
        <w:spacing w:after="120"/>
      </w:pPr>
      <w:r>
        <w:rPr>
          <w:b/>
        </w:rPr>
        <w:t xml:space="preserve">[5] </w:t>
      </w:r>
      <w:r>
        <w:t>Tenant, Jonathan P and Waldner, Francois and Jacques, Damien C and Masuzzo, Paola and Collister, Lauren B and Hartgerink, Chris HJ (2016). The academic, economic and societal impacts of Open Access: an evidence-based review. F1000Research 5: 632.</w:t>
      </w:r>
      <w:r>
        <w:t xml:space="preserve"> </w:t>
      </w:r>
      <w:hyperlink r:id="rId25">
        <w:r>
          <w:rPr>
            <w:u w:val="single"/>
            <w:color w:val="0000FF"/>
            <w:highlight w:val="yellow"/>
          </w:rPr>
          <w:t>https://doi.org/10.12688/f1000research.8460.3</w:t>
        </w:r>
      </w:hyperlink>
    </w:p>
    <w:p>
      <w:pPr>
        <w:spacing w:after="120"/>
      </w:pPr>
      <w:r>
        <w:rPr>
          <w:b/>
        </w:rPr>
        <w:t xml:space="preserve">[6] </w:t>
      </w:r>
      <w:r>
        <w:t>Lin, Jialiang and Yu, Yao and Zhou, Yu and Zhou, Zhiyang and Shi, Xiaodong (2020). How many preprints have actually been printed and why: a case study of computer science preprints on arXiv. Scientometrics 124(1): 555–574.</w:t>
      </w:r>
      <w:r>
        <w:t xml:space="preserve"> </w:t>
      </w:r>
      <w:hyperlink r:id="rId26">
        <w:r>
          <w:rPr>
            <w:u w:val="single"/>
            <w:color w:val="0000FF"/>
            <w:highlight w:val="yellow"/>
          </w:rPr>
          <w:t>https://doi.org/10.1007/s11192-020-03430-8</w:t>
        </w:r>
      </w:hyperlink>
    </w:p>
    <w:p>
      <w:pPr>
        <w:spacing w:after="120"/>
      </w:pPr>
      <w:r>
        <w:rPr>
          <w:b/>
        </w:rPr>
        <w:t xml:space="preserve">[7] </w:t>
      </w:r>
      <w:r>
        <w:t>Perkel, Jeffrey M. (2022). Cut the tyranny of copy-and-paste with these coding tools. Nature 603(7899): 191–192.</w:t>
      </w:r>
      <w:r>
        <w:t xml:space="preserve"> </w:t>
      </w:r>
      <w:hyperlink r:id="rId27">
        <w:r>
          <w:rPr>
            <w:u w:val="single"/>
            <w:color w:val="0000FF"/>
            <w:highlight w:val="yellow"/>
          </w:rPr>
          <w:t>https://doi.org/10.1038/d41586-022-00563-z</w:t>
        </w:r>
      </w:hyperlink>
    </w:p>
    <w:p>
      <w:pPr>
        <w:spacing w:after="120"/>
      </w:pPr>
      <w:r>
        <w:rPr>
          <w:b/>
        </w:rPr>
        <w:t xml:space="preserve">[8] </w:t>
      </w:r>
      <w:r>
        <w:t>Rubens, Ulysse and Mormont, Romain and Paavolainen, Lassi and B"{a}cker, Volker and Pavie, Benjamin and others (2020). BIAFLOWS: A Collaborative Framework to Reproducibly Deploy and Benchmark Bioimage Analysis Workflows. Patterns 1(3): 100040.</w:t>
      </w:r>
      <w:r>
        <w:t xml:space="preserve"> </w:t>
      </w:r>
      <w:hyperlink r:id="rId28">
        <w:r>
          <w:rPr>
            <w:u w:val="single"/>
            <w:color w:val="0000FF"/>
            <w:highlight w:val="yellow"/>
          </w:rPr>
          <w:t>https://doi.org/10.1016/j.patter.2020.100040</w:t>
        </w:r>
      </w:hyperlink>
    </w:p>
    <w:p>
      <w:pPr>
        <w:spacing w:after="120"/>
      </w:pPr>
      <w:r>
        <w:rPr>
          <w:b/>
        </w:rPr>
        <w:t xml:space="preserve">[9] </w:t>
      </w:r>
      <w:r>
        <w:t>Hidalgo-Cenalmor, Ivan and Pylv"{a}n"{a}inen, Joanna W and Ferreira, Mariana G and others (2024). DL4MicEverywhere: deep learning for microscopy made flexible, shareable and reproducible. Nature Methods 21(9): 1645–1656.</w:t>
      </w:r>
      <w:r>
        <w:t xml:space="preserve"> </w:t>
      </w:r>
      <w:hyperlink r:id="rId29">
        <w:r>
          <w:rPr>
            <w:u w:val="single"/>
            <w:color w:val="0000FF"/>
            <w:highlight w:val="yellow"/>
          </w:rPr>
          <w:t>https://doi.org/10.1038/s41592-024-02295-6</w:t>
        </w:r>
      </w:hyperlink>
    </w:p>
    <w:p>
      <w:pPr>
        <w:spacing w:after="120"/>
      </w:pPr>
      <w:r>
        <w:rPr>
          <w:b/>
        </w:rPr>
        <w:t xml:space="preserve">[10] </w:t>
      </w:r>
      <w:r>
        <w:t>Ram, Karthik (2013). Git can facilitate greater reproducibility and increased transparency in science. Source Code for Biology and Medicine 8(1): 7.</w:t>
      </w:r>
      <w:r>
        <w:t xml:space="preserve"> </w:t>
      </w:r>
      <w:hyperlink r:id="rId30">
        <w:r>
          <w:rPr>
            <w:u w:val="single"/>
            <w:color w:val="0000FF"/>
            <w:highlight w:val="yellow"/>
          </w:rPr>
          <w:t>https://doi.org/10.1186/1751-0473-8-7</w:t>
        </w:r>
      </w:hyperlink>
    </w:p>
    <w:p>
      <w:pPr>
        <w:spacing w:after="120"/>
      </w:pPr>
      <w:r>
        <w:rPr>
          <w:b/>
        </w:rPr>
        <w:t xml:space="preserve">[11] </w:t>
      </w:r>
      <w:r>
        <w:t>Perez-Riverol, Yasset and Gatto, Laurent and Wang, Rui and Sachsenberg, Timo and Uszkoreit, Julian and Leprevost, Felipe da Veiga and Fufezan, Christian and Ternent, Tobias and Eglen, Stephen J and Katz, Daniel S and others (2016). Ten simple rules for taking advantage of Git and GitHub. PLoS Computational Biology 12(7): e1004947.</w:t>
      </w:r>
      <w:r>
        <w:t xml:space="preserve"> </w:t>
      </w:r>
      <w:hyperlink r:id="rId31">
        <w:r>
          <w:rPr>
            <w:u w:val="single"/>
            <w:color w:val="0000FF"/>
            <w:highlight w:val="yellow"/>
          </w:rPr>
          <w:t>https://doi.org/10.1371/journal.pcbi.1004947</w:t>
        </w:r>
      </w:hyperlink>
    </w:p>
    <w:p>
      <w:pPr>
        <w:spacing w:after="120"/>
      </w:pPr>
      <w:r>
        <w:rPr>
          <w:b/>
        </w:rPr>
        <w:t xml:space="preserve">[12] </w:t>
      </w:r>
      <w:r>
        <w:t>{Overleaf} (2024). Overleaf: Real-time Collaborative Writing and Publishing Tools with Integrated PDF Preview.</w:t>
      </w:r>
    </w:p>
    <w:p>
      <w:pPr>
        <w:spacing w:after="120"/>
      </w:pPr>
      <w:r>
        <w:rPr>
          <w:b/>
        </w:rPr>
        <w:t xml:space="preserve">[13] </w:t>
      </w:r>
      <w:r>
        <w:t>{Ricardo Henriques} (2015). Henriques bioRxiv template.</w:t>
      </w:r>
    </w:p>
    <w:p>
      <w:pPr>
        <w:spacing w:after="120"/>
      </w:pPr>
      <w:r>
        <w:rPr>
          <w:b/>
        </w:rPr>
        <w:t xml:space="preserve">[14] </w:t>
      </w:r>
      <w:r>
        <w:t>Himmelstein, Daniel S. and Rubinetti, Vincent and Slochower, David R. and Hu, Dongbo and Malladi, Venkat S. and Greene, Casey S. and Gitter, Anthony (2019). Open collaborative writing with Manubot. PLOS Computational Biology 15(6): e1007128.</w:t>
      </w:r>
      <w:r>
        <w:t xml:space="preserve"> </w:t>
      </w:r>
      <w:hyperlink r:id="rId32">
        <w:r>
          <w:rPr>
            <w:u w:val="single"/>
            <w:color w:val="0000FF"/>
            <w:highlight w:val="yellow"/>
          </w:rPr>
          <w:t>https://doi.org/10.1371/journal.pcbi.1007128</w:t>
        </w:r>
      </w:hyperlink>
    </w:p>
    <w:p>
      <w:pPr>
        <w:spacing w:after="120"/>
      </w:pPr>
      <w:r>
        <w:rPr>
          <w:b/>
        </w:rPr>
        <w:t xml:space="preserve">[15] </w:t>
      </w:r>
      <w:r>
        <w:t>{The Executable Book Community} (2020). Jupyter Book: Build beautiful, publication-quality books and documents from computational material.</w:t>
      </w:r>
    </w:p>
    <w:p>
      <w:pPr>
        <w:spacing w:after="120"/>
      </w:pPr>
      <w:r>
        <w:rPr>
          <w:b/>
        </w:rPr>
        <w:t xml:space="preserve">[16] </w:t>
      </w:r>
      <w:r>
        <w:t>{Posit PBC} (2024). Quarto: An Open-Source Scientific and Technical Publishing System.</w:t>
      </w:r>
    </w:p>
    <w:p>
      <w:pPr>
        <w:spacing w:after="120"/>
      </w:pPr>
      <w:r>
        <w:rPr>
          <w:b/>
        </w:rPr>
        <w:t xml:space="preserve">[17] </w:t>
      </w:r>
      <w:r>
        <w:t>Kluyver, Thomas and Ragan-Kelley, Benjamin and Pérez, Fernando and Granger, Brian E and Bussonnier, Matthias and Frederic, Jonathan and Kelley, Kyle and Hamrick, Jessica B and Grout, Jason and Corlay, Sylvain and others (2016). Jupyter Notebooks--a publishing format for reproducible computational workflows. In: Positioning and Power in Academic Publishing: Players, Agents and Agendas, pp. 87–90.</w:t>
      </w:r>
      <w:r>
        <w:t xml:space="preserve"> </w:t>
      </w:r>
      <w:hyperlink r:id="rId33">
        <w:r>
          <w:rPr>
            <w:u w:val="single"/>
            <w:color w:val="0000FF"/>
            <w:highlight w:val="yellow"/>
          </w:rPr>
          <w:t>https://doi.org/10.3233/978-1-61499-649-1-87</w:t>
        </w:r>
      </w:hyperlink>
    </w:p>
    <w:p>
      <w:pPr>
        <w:spacing w:after="120"/>
      </w:pPr>
      <w:r>
        <w:rPr>
          <w:b/>
        </w:rPr>
        <w:t xml:space="preserve">[18] </w:t>
      </w:r>
      <w:r>
        <w:t>{Typst GmbH} (2024). Typst: A New Markup-Based Typesetting System.</w:t>
      </w:r>
    </w:p>
    <w:p>
      <w:pPr>
        <w:spacing w:after="120"/>
      </w:pPr>
      <w:r>
        <w:rPr>
          <w:b/>
        </w:rPr>
        <w:t xml:space="preserve">[19] </w:t>
      </w:r>
      <w:r>
        <w:t>Xie, Yihui (2016). bookdown: Authoring Books and Technical Documents with R Markdown. Chapman and Hall/CRC.</w:t>
      </w:r>
    </w:p>
    <w:p>
      <w:pPr>
        <w:spacing w:after="120"/>
      </w:pPr>
      <w:r>
        <w:rPr>
          <w:b/>
        </w:rPr>
        <w:t xml:space="preserve">[20] </w:t>
      </w:r>
      <w:r>
        <w:t>Unknown Author (2020). Pandoc: The universal markup converter.</w:t>
      </w:r>
    </w:p>
    <w:p>
      <w:pPr>
        <w:spacing w:after="120"/>
      </w:pPr>
      <w:r>
        <w:rPr>
          <w:b/>
        </w:rPr>
        <w:t xml:space="preserve">[21] </w:t>
      </w:r>
      <w:r>
        <w:t>Boettiger, Carl (2015). An introduction to Docker for reproducible research. ACM SIGOPS Operating Systems Review 49(1): 71–79.</w:t>
      </w:r>
      <w:r>
        <w:t xml:space="preserve"> </w:t>
      </w:r>
      <w:hyperlink r:id="rId34">
        <w:r>
          <w:rPr>
            <w:u w:val="single"/>
            <w:color w:val="0000FF"/>
            <w:highlight w:val="yellow"/>
          </w:rPr>
          <w:t>https://doi.org/10.1145/2723872.2723882</w:t>
        </w:r>
      </w:hyperlink>
    </w:p>
    <w:p>
      <w:pPr>
        <w:spacing w:after="120"/>
      </w:pPr>
      <w:r>
        <w:rPr>
          <w:b/>
        </w:rPr>
        <w:t xml:space="preserve">[22] </w:t>
      </w:r>
      <w:r>
        <w:t>Gomes, Jorge and Bagnaschi, Emanuele and Campos, Isabel and David, Mario and Alves, Luís and Martins, João and Pina, João and López-García, Alvaro and Orviz, Pablo (2018). Enabling rootless Linux Containers in multi-user environments: The udocker tool. Computer Physics Communications 232: 84–97.</w:t>
      </w:r>
      <w:r>
        <w:t xml:space="preserve"> </w:t>
      </w:r>
      <w:hyperlink r:id="rId35">
        <w:r>
          <w:rPr>
            <w:u w:val="single"/>
            <w:color w:val="0000FF"/>
            <w:highlight w:val="yellow"/>
          </w:rPr>
          <w:t>https://doi.org/10.1016/j.cpc.2018.05.021</w:t>
        </w:r>
      </w:hyperlink>
    </w:p>
    <w:p>
      <w:pPr>
        <w:spacing w:after="120"/>
      </w:pPr>
      <w:r>
        <w:rPr>
          <w:b/>
        </w:rPr>
        <w:t xml:space="preserve">[23] </w:t>
      </w:r>
      <w:r>
        <w:t>Knuth, Donald E (1984). Literate programming. The Computer Journal 27(2): 97–111.</w:t>
      </w:r>
      <w:r>
        <w:t xml:space="preserve"> </w:t>
      </w:r>
      <w:hyperlink r:id="rId36">
        <w:r>
          <w:rPr>
            <w:u w:val="single"/>
            <w:color w:val="0000FF"/>
            <w:highlight w:val="yellow"/>
          </w:rPr>
          <w:t>https://doi.org/10.1093/comjnl/27.2.97</w:t>
        </w:r>
      </w:hyperlink>
    </w:p>
    <w:p>
      <w:pPr>
        <w:spacing w:after="120"/>
      </w:pPr>
      <w:r>
        <w:rPr>
          <w:b/>
        </w:rPr>
        <w:t xml:space="preserve">[24] </w:t>
      </w:r>
      <w:r>
        <w:t>Hunter, John D (2007). Matplotlib: A 2D graphics environment. Computing in Science &amp; Engineering 9(3): 90–95.</w:t>
      </w:r>
      <w:r>
        <w:t xml:space="preserve"> </w:t>
      </w:r>
      <w:hyperlink r:id="rId37">
        <w:r>
          <w:rPr>
            <w:u w:val="single"/>
            <w:color w:val="0000FF"/>
            <w:highlight w:val="yellow"/>
          </w:rPr>
          <w:t>https://doi.org/10.1109/MCSE.2007.55</w:t>
        </w:r>
      </w:hyperlink>
    </w:p>
    <w:p>
      <w:pPr>
        <w:spacing w:after="120"/>
      </w:pPr>
      <w:r>
        <w:rPr>
          <w:b/>
        </w:rPr>
        <w:t xml:space="preserve">[25] </w:t>
      </w:r>
      <w:r>
        <w:t>Waskom, Michael L (2021). seaborn: statistical data visualization. Journal of Open Source Software 6(60): 3021.</w:t>
      </w:r>
      <w:r>
        <w:t xml:space="preserve"> </w:t>
      </w:r>
      <w:hyperlink r:id="rId38">
        <w:r>
          <w:rPr>
            <w:u w:val="single"/>
            <w:color w:val="0000FF"/>
            <w:highlight w:val="yellow"/>
          </w:rPr>
          <w:t>https://doi.org/10.21105/joss.03021</w:t>
        </w:r>
      </w:hyperlink>
    </w:p>
    <w:p>
      <w:pPr>
        <w:spacing w:after="120"/>
      </w:pPr>
      <w:r>
        <w:rPr>
          <w:b/>
        </w:rPr>
        <w:t xml:space="preserve">[26] </w:t>
      </w:r>
      <w:r>
        <w:t>{Mermaid Team} (2023). Mermaid: Generation of diagrams and flowcharts from text in a similar manner as markdown.</w:t>
      </w:r>
    </w:p>
    <w:p>
      <w:pPr>
        <w:spacing w:after="120"/>
      </w:pPr>
      <w:r>
        <w:rPr>
          <w:b/>
        </w:rPr>
        <w:t xml:space="preserve">[27] </w:t>
      </w:r>
      <w:r>
        <w:t>{Sperr, Ed} (2025). PubMed by Year: A dataset of PubMed publication counts by year.</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arxiv.org/stats/monthly_submissions" TargetMode="External"/><Relationship Id="rId13" Type="http://schemas.openxmlformats.org/officeDocument/2006/relationships/hyperlink" Target="https://github.com/esperr/pubmed-by-year" TargetMode="External"/><Relationship Id="rId14" Type="http://schemas.openxmlformats.org/officeDocument/2006/relationships/hyperlink" Target="https://github.com/HenriquesLab/rxiv-maker" TargetMode="External"/><Relationship Id="rId15" Type="http://schemas.openxmlformats.org/officeDocument/2006/relationships/hyperlink" Target="https://github.com/HenriquesLab/vscode-rxiv-maker" TargetMode="External"/><Relationship Id="rId16" Type="http://schemas.openxmlformats.org/officeDocument/2006/relationships/hyperlink" Target="https://github.com/HenriquesLab/docker-rxiv-maker" TargetMode="Externa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20" Type="http://schemas.openxmlformats.org/officeDocument/2006/relationships/image" Target="media/image7.png"/><Relationship Id="rId21" Type="http://schemas.openxmlformats.org/officeDocument/2006/relationships/hyperlink" Target="https://doi.org/10.31219/osf.io/8dn4w" TargetMode="External"/><Relationship Id="rId22" Type="http://schemas.openxmlformats.org/officeDocument/2006/relationships/hyperlink" Target="https://doi.org/10.1101/2024.04.19.590240" TargetMode="External"/><Relationship Id="rId23" Type="http://schemas.openxmlformats.org/officeDocument/2006/relationships/hyperlink" Target="https://doi.org/10.1162/qss_a_00043" TargetMode="External"/><Relationship Id="rId24" Type="http://schemas.openxmlformats.org/officeDocument/2006/relationships/hyperlink" Target="https://doi.org/10.1073/pnas.1511912112" TargetMode="External"/><Relationship Id="rId25" Type="http://schemas.openxmlformats.org/officeDocument/2006/relationships/hyperlink" Target="https://doi.org/10.12688/f1000research.8460.3" TargetMode="External"/><Relationship Id="rId26" Type="http://schemas.openxmlformats.org/officeDocument/2006/relationships/hyperlink" Target="https://doi.org/10.1007/s11192-020-03430-8" TargetMode="External"/><Relationship Id="rId27" Type="http://schemas.openxmlformats.org/officeDocument/2006/relationships/hyperlink" Target="https://doi.org/10.1038/d41586-022-00563-z" TargetMode="External"/><Relationship Id="rId28" Type="http://schemas.openxmlformats.org/officeDocument/2006/relationships/hyperlink" Target="https://doi.org/10.1016/j.patter.2020.100040" TargetMode="External"/><Relationship Id="rId29" Type="http://schemas.openxmlformats.org/officeDocument/2006/relationships/hyperlink" Target="https://doi.org/10.1038/s41592-024-02295-6" TargetMode="External"/><Relationship Id="rId30" Type="http://schemas.openxmlformats.org/officeDocument/2006/relationships/hyperlink" Target="https://doi.org/10.1186/1751-0473-8-7" TargetMode="External"/><Relationship Id="rId31" Type="http://schemas.openxmlformats.org/officeDocument/2006/relationships/hyperlink" Target="https://doi.org/10.1371/journal.pcbi.1004947" TargetMode="External"/><Relationship Id="rId32" Type="http://schemas.openxmlformats.org/officeDocument/2006/relationships/hyperlink" Target="https://doi.org/10.1371/journal.pcbi.1007128" TargetMode="External"/><Relationship Id="rId33" Type="http://schemas.openxmlformats.org/officeDocument/2006/relationships/hyperlink" Target="https://doi.org/10.3233/978-1-61499-649-1-87" TargetMode="External"/><Relationship Id="rId34" Type="http://schemas.openxmlformats.org/officeDocument/2006/relationships/hyperlink" Target="https://doi.org/10.1145/2723872.2723882" TargetMode="External"/><Relationship Id="rId35" Type="http://schemas.openxmlformats.org/officeDocument/2006/relationships/hyperlink" Target="https://doi.org/10.1016/j.cpc.2018.05.021" TargetMode="External"/><Relationship Id="rId36" Type="http://schemas.openxmlformats.org/officeDocument/2006/relationships/hyperlink" Target="https://doi.org/10.1093/comjnl/27.2.97" TargetMode="External"/><Relationship Id="rId37" Type="http://schemas.openxmlformats.org/officeDocument/2006/relationships/hyperlink" Target="https://doi.org/10.1109/MCSE.2007.55" TargetMode="External"/><Relationship Id="rId38" Type="http://schemas.openxmlformats.org/officeDocument/2006/relationships/hyperlink" Target="https://doi.org/10.21105/joss.030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