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Abstract</w:t>
      </w:r>
    </w:p>
    <w:p>
      <w:r>
        <w:t>This is a sample manuscript for testing DOCX export functionality. It includes various citation styles and formatting to validate the export process.</w:t>
      </w:r>
    </w:p>
    <w:p>
      <w:pPr>
        <w:pStyle w:val="Heading1"/>
      </w:pPr>
      <w:r>
        <w:t>Introduction</w:t>
      </w:r>
    </w:p>
    <w:p>
      <w:r>
        <w:t xml:space="preserve">Scientific publishing requires collaboration with researchers who may not be familiar with LaTeX </w:t>
      </w:r>
      <w:r>
        <w:rPr>
          <w:vertAlign w:val="superscript"/>
        </w:rPr>
        <w:t>[1]</w:t>
      </w:r>
      <w:r>
        <w:t>. The DOCX export feature addresses this need by providing a familiar format for review and collaboration.</w:t>
      </w:r>
    </w:p>
    <w:p>
      <w:r>
        <w:t xml:space="preserve">Previous studies have shown the importance of accessible manuscript formats </w:t>
      </w:r>
      <w:r>
        <w:rPr>
          <w:vertAlign w:val="superscript"/>
        </w:rPr>
        <w:t>[2]</w:t>
      </w:r>
      <w:r>
        <w:rPr>
          <w:vertAlign w:val="superscript"/>
        </w:rPr>
        <w:t>[3]</w:t>
      </w:r>
      <w:r>
        <w:t xml:space="preserve">. Multiple citations can appear together </w:t>
      </w:r>
      <w:r>
        <w:rPr>
          <w:vertAlign w:val="superscript"/>
        </w:rPr>
        <w:t>[4]</w:t>
      </w:r>
      <w:r>
        <w:rPr>
          <w:vertAlign w:val="superscript"/>
        </w:rPr>
        <w:t>[5]</w:t>
      </w:r>
      <w:r>
        <w:t xml:space="preserve">, and single citations can appear inline like </w:t>
      </w:r>
      <w:r>
        <w:rPr>
          <w:vertAlign w:val="superscript"/>
        </w:rPr>
        <w:t>[11]</w:t>
      </w:r>
      <w:r>
        <w:t>.</w:t>
      </w:r>
    </w:p>
    <w:p>
      <w:pPr>
        <w:pStyle w:val="Heading2"/>
      </w:pPr>
      <w:r>
        <w:t>Background</w:t>
      </w:r>
    </w:p>
    <w:p>
      <w:r>
        <w:t xml:space="preserve">The field has evolved significantly in recent years. Early work by </w:t>
      </w:r>
      <w:r>
        <w:rPr>
          <w:vertAlign w:val="superscript"/>
        </w:rPr>
        <w:t>[9]</w:t>
      </w:r>
      <w:r>
        <w:t xml:space="preserve"> established the foundation, while later studies </w:t>
      </w:r>
      <w:r>
        <w:rPr>
          <w:vertAlign w:val="superscript"/>
        </w:rPr>
        <w:t>[6]</w:t>
      </w:r>
      <w:r>
        <w:rPr>
          <w:vertAlign w:val="superscript"/>
        </w:rPr>
        <w:t>[7]</w:t>
      </w:r>
      <w:r>
        <w:t xml:space="preserve"> extended the approach.</w:t>
      </w:r>
    </w:p>
    <w:p>
      <w:pPr>
        <w:pStyle w:val="Heading1"/>
      </w:pPr>
      <w:r>
        <w:t>Methods</w:t>
      </w:r>
    </w:p>
    <w:p>
      <w:r>
        <w:t xml:space="preserve">We implemented the export functionality using </w:t>
      </w:r>
      <w:r>
        <w:rPr>
          <w:b/>
        </w:rPr>
        <w:t>python-docx</w:t>
      </w:r>
      <w:r>
        <w:t xml:space="preserve"> library </w:t>
      </w:r>
      <w:r>
        <w:rPr>
          <w:vertAlign w:val="superscript"/>
        </w:rPr>
        <w:t>[8]</w:t>
      </w:r>
      <w:r>
        <w:t>. The process involves:</w:t>
      </w:r>
    </w:p>
    <w:p>
      <w:pPr>
        <w:pStyle w:val="ListBullet"/>
      </w:pPr>
      <w:r>
        <w:t>Citation extraction and mapping</w:t>
      </w:r>
    </w:p>
    <w:p>
      <w:pPr>
        <w:pStyle w:val="ListBullet"/>
      </w:pPr>
      <w:r>
        <w:t>Markdown parsing and conversion</w:t>
      </w:r>
    </w:p>
    <w:p>
      <w:pPr>
        <w:pStyle w:val="ListBullet"/>
      </w:pPr>
      <w:r>
        <w:t>Bibliography formatting with DOIs</w:t>
      </w:r>
    </w:p>
    <w:p>
      <w:pPr>
        <w:pStyle w:val="ListBullet"/>
      </w:pPr>
      <w:r>
        <w:t>Document generation with proper styling</w:t>
      </w:r>
    </w:p>
    <w:p>
      <w:r>
        <w:t xml:space="preserve">Code samples can be included using inline </w:t>
      </w:r>
      <w:r>
        <w:rPr>
          <w:rFonts w:ascii="Courier New" w:hAnsi="Courier New"/>
          <w:sz w:val="20"/>
        </w:rPr>
        <w:t>code</w:t>
      </w:r>
      <w:r>
        <w:t xml:space="preserve"> or code blocks:</w:t>
      </w:r>
    </w:p>
    <w:p>
      <w:pPr>
        <w:ind w:left="720"/>
      </w:pPr>
      <w:r>
        <w:rPr>
          <w:rFonts w:ascii="Courier New" w:hAnsi="Courier New"/>
          <w:sz w:val="18"/>
        </w:rPr>
        <w:t>def export_manuscript(path):</w:t>
        <w:br/>
        <w:t xml:space="preserve">    exporter = DocxExporter(path)</w:t>
        <w:br/>
        <w:t xml:space="preserve">    return exporter.export()</w:t>
      </w:r>
    </w:p>
    <w:p>
      <w:pPr>
        <w:pStyle w:val="Heading1"/>
      </w:pPr>
      <w:r>
        <w:t>Results</w:t>
      </w:r>
    </w:p>
    <w:p>
      <w:r>
        <w:t>Our approach successfully handles various citation patterns:</w:t>
      </w:r>
    </w:p>
    <w:p>
      <w:pPr>
        <w:pStyle w:val="ListNumber"/>
      </w:pPr>
      <w:r>
        <w:t>Single citations: [1]</w:t>
      </w:r>
    </w:p>
    <w:p>
      <w:pPr>
        <w:pStyle w:val="ListNumber"/>
      </w:pPr>
      <w:r>
        <w:t>Multiple citations: [2, 3]</w:t>
      </w:r>
    </w:p>
    <w:p>
      <w:pPr>
        <w:pStyle w:val="ListNumber"/>
      </w:pPr>
      <w:r>
        <w:t>Mixed with text: Recent work [4] demonstrates this.</w:t>
      </w:r>
    </w:p>
    <w:p>
      <w:r>
        <w:t xml:space="preserve">The system also preserves </w:t>
      </w:r>
      <w:r>
        <w:rPr>
          <w:i/>
        </w:rPr>
        <w:t>italic text</w:t>
      </w:r>
      <w:r>
        <w:t xml:space="preserve">, </w:t>
      </w:r>
      <w:r>
        <w:rPr>
          <w:b/>
        </w:rPr>
        <w:t>bold text</w:t>
      </w:r>
      <w:r>
        <w:t xml:space="preserve">, and other </w:t>
      </w:r>
      <w:r>
        <w:rPr>
          <w:rFonts w:ascii="Courier New" w:hAnsi="Courier New"/>
          <w:sz w:val="20"/>
        </w:rPr>
        <w:t>inline formatting</w:t>
      </w:r>
      <w:r>
        <w:t>.</w:t>
      </w:r>
    </w:p>
    <w:p>
      <w:pPr>
        <w:pStyle w:val="Heading1"/>
      </w:pPr>
      <w:r>
        <w:t>Discussion</w:t>
      </w:r>
    </w:p>
    <w:p>
      <w:r>
        <w:t xml:space="preserve">This work builds on previous efforts </w:t>
      </w:r>
      <w:r>
        <w:rPr>
          <w:vertAlign w:val="superscript"/>
        </w:rPr>
        <w:t>[9]</w:t>
      </w:r>
      <w:r>
        <w:rPr>
          <w:vertAlign w:val="superscript"/>
        </w:rPr>
        <w:t>[6]</w:t>
      </w:r>
      <w:r>
        <w:t xml:space="preserve"> to improve manuscript accessibility. Future work will extend the system to handle more complex formatting requirements.</w:t>
      </w:r>
    </w:p>
    <w:p>
      <w:pPr>
        <w:pStyle w:val="Heading1"/>
      </w:pPr>
      <w:r>
        <w:t>Conclusion</w:t>
      </w:r>
    </w:p>
    <w:p>
      <w:r>
        <w:t>We have demonstrated a functional DOCX export system that maintains citation integrity and provides DOI footnotes for easy reference lookup.</w:t>
      </w:r>
    </w:p>
    <w:p>
      <w:pPr>
        <w:pStyle w:val="Heading1"/>
      </w:pPr>
      <w:r>
        <w:t>References</w:t>
      </w:r>
    </w:p>
    <w:p>
      <w:pPr>
        <w:pStyle w:val="Heading1"/>
      </w:pPr>
      <w:r>
        <w:t>Supplementary Information</w:t>
      </w:r>
    </w:p>
    <w:p>
      <w:pPr>
        <w:pStyle w:val="Heading1"/>
      </w:pPr>
      <w:r>
        <w:t>Supplementary Methods</w:t>
      </w:r>
    </w:p>
    <w:p>
      <w:pPr>
        <w:pStyle w:val="Heading2"/>
      </w:pPr>
      <w:r>
        <w:t>Additional Implementation Details</w:t>
      </w:r>
    </w:p>
    <w:p>
      <w:r>
        <w:t xml:space="preserve">The implementation follows best practices outlined in </w:t>
      </w:r>
      <w:r>
        <w:rPr>
          <w:vertAlign w:val="superscript"/>
        </w:rPr>
        <w:t>[1]</w:t>
      </w:r>
      <w:r>
        <w:t xml:space="preserve"> and extends the approach used by </w:t>
      </w:r>
      <w:r>
        <w:rPr>
          <w:vertAlign w:val="superscript"/>
        </w:rPr>
        <w:t>[11]</w:t>
      </w:r>
      <w:r>
        <w:t>.</w:t>
      </w:r>
    </w:p>
    <w:p>
      <w:pPr>
        <w:pStyle w:val="Heading2"/>
      </w:pPr>
      <w:r>
        <w:t>Data Processing</w:t>
      </w:r>
    </w:p>
    <w:p>
      <w:r>
        <w:t>Data processing steps include:</w:t>
      </w:r>
    </w:p>
    <w:p>
      <w:pPr>
        <w:pStyle w:val="ListBullet"/>
      </w:pPr>
      <w:r>
        <w:t>Raw data collection</w:t>
      </w:r>
    </w:p>
    <w:p>
      <w:pPr>
        <w:pStyle w:val="ListBullet"/>
      </w:pPr>
      <w:r>
        <w:t>Quality control following [7]</w:t>
      </w:r>
    </w:p>
    <w:p>
      <w:pPr>
        <w:pStyle w:val="ListBullet"/>
      </w:pPr>
      <w:r>
        <w:t>Statistical analysis using methods from [5]</w:t>
      </w:r>
    </w:p>
    <w:p>
      <w:pPr>
        <w:pStyle w:val="Heading2"/>
      </w:pPr>
      <w:r>
        <w:t>Code Availability</w:t>
      </w:r>
    </w:p>
    <w:p>
      <w:r>
        <w:t xml:space="preserve">All code is available in the supplementary repository </w:t>
      </w:r>
      <w:r>
        <w:rPr>
          <w:vertAlign w:val="superscript"/>
        </w:rPr>
        <w:t>[10]</w:t>
      </w:r>
      <w:r>
        <w:t>.</w:t>
      </w:r>
    </w:p>
    <w:p>
      <w:pPr>
        <w:pStyle w:val="Heading1"/>
      </w:pPr>
      <w:r>
        <w:t>Supplementary Results</w:t>
      </w:r>
    </w:p>
    <w:p>
      <w:pPr>
        <w:pStyle w:val="Heading2"/>
      </w:pPr>
      <w:r>
        <w:t>Extended Analysis</w:t>
      </w:r>
    </w:p>
    <w:p>
      <w:r>
        <w:t xml:space="preserve">Additional results supporting the main findings are presented here. These complement the core results discussed by </w:t>
      </w:r>
      <w:r>
        <w:rPr>
          <w:vertAlign w:val="superscript"/>
        </w:rPr>
        <w:t>[4]</w:t>
      </w:r>
      <w:r>
        <w:t xml:space="preserve"> and </w:t>
      </w:r>
      <w:r>
        <w:rPr>
          <w:vertAlign w:val="superscript"/>
        </w:rPr>
        <w:t>[3]</w:t>
      </w:r>
      <w:r>
        <w:t>.</w:t>
      </w:r>
    </w:p>
    <w:p>
      <w:pPr>
        <w:pStyle w:val="Heading2"/>
      </w:pPr>
      <w:r>
        <w:t>Performance Benchmarks</w:t>
      </w:r>
    </w:p>
    <w:p>
      <w:r>
        <w:t xml:space="preserve">Performance metrics demonstrate efficiency improvements over previous approaches </w:t>
      </w:r>
      <w:r>
        <w:rPr>
          <w:vertAlign w:val="superscript"/>
        </w:rPr>
        <w:t>[9]</w:t>
      </w:r>
      <w:r>
        <w:rPr>
          <w:vertAlign w:val="superscript"/>
        </w:rPr>
        <w:t>[6]</w:t>
      </w:r>
      <w:r>
        <w:t>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