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55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Proposta Schema Dati sulla Violenza di Genere</w:t>
      </w:r>
    </w:p>
    <w:p>
      <w:pPr>
        <w:pStyle w:val="Subtitle"/>
      </w:pPr>
      <w:r>
        <w:t xml:space="preserve">Basata sulla Legge 53 del 5 maggio 2022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Indice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tbl>
      <w:tblPr>
        <w:tblStyle w:val="Table"/>
        <w:tblLook w:firstRow="0" w:lastRow="0" w:firstColumn="0" w:lastColumn="0" w:noHBand="0" w:noVBand="0" w:val="0000"/>
        <w:tblBorders>
          <w:left w:val="single" w:sz="24" w:space="0" w:color="0758E5"/>
          <w:right w:val="single" w:sz="4" w:space="0" w:color="0758E5"/>
          <w:top w:val="single" w:sz="4" w:space="0" w:color="0758E5"/>
          <w:bottom w:val="single" w:sz="4" w:space="0" w:color="0758E5"/>
        </w:tblBorders>
        <w:tblCellMar>
          <w:left w:w="144" w:type="dxa"/>
          <w:right w:w="144" w:type="dxa"/>
        </w:tblCellMar>
        <w:tblInd w:w="164" w:type="dxa"/>
        <w:tblW w:type="pct" w:w="100%"/>
      </w:tblPr>
      <w:tr>
        <w:trPr>
          <w:cantSplit/>
        </w:trPr>
        <w:tc>
          <w:tcPr>
            <w:shd w:color="auto" w:fill="dae6fb" w:val="clear"/>
            <w:tcMar>
              <w:top w:w="92" w:type="dxa"/>
              <w:bottom w:w="92" w:type="dxa"/>
            </w:tcMar>
          </w:tcPr>
          <w:p>
            <w:pPr>
              <w:pStyle w:val="FirstParagraph"/>
            </w:pPr>
            <w:pPr>
              <w:spacing w:before="0" w:after="0"/>
              <w:textAlignment w:val="center"/>
            </w:pPr>
            <w:r>
              <w:drawing>
                <wp:inline>
                  <wp:extent cx="152400" cy="152400"/>
                  <wp:effectExtent b="0" l="0" r="0" t="0"/>
                  <wp:docPr descr="" title="" id="21" name="Picture"/>
                  <a:graphic>
                    <a:graphicData uri="http://schemas.openxmlformats.org/drawingml/2006/picture">
                      <pic:pic>
                        <pic:nvPicPr>
                          <pic:cNvPr descr="/opt/quarto/share/formats/docx/note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 xml:space="preserve"> </w:t>
            </w:r>
            <w:r>
              <w:t xml:space="preserve">Nota</w:t>
            </w:r>
          </w:p>
        </w:tc>
      </w:tr>
      <w:tr>
        <w:trPr>
          <w:cantSplit/>
        </w:trPr>
        <w:tc>
          <w:tcPr>
            <w:tcMar>
              <w:top w:w="108" w:type="dxa"/>
              <w:bottom w:w="108" w:type="dxa"/>
            </w:tcMar>
          </w:tcPr>
          <w:p>
            <w:pPr>
              <w:pStyle w:val="BodyText"/>
            </w:pPr>
            <w:pPr>
              <w:spacing w:before="16" w:after="16"/>
            </w:pPr>
            <w:r>
              <w:t xml:space="preserve">Quest’analisi è stata realizzata con il supporto del tool</w:t>
            </w:r>
            <w:r>
              <w:t xml:space="preserve"> </w:t>
            </w:r>
            <w:hyperlink r:id="rId23">
              <w:r>
                <w:rPr>
                  <w:rStyle w:val="Hyperlink"/>
                </w:rPr>
                <w:t xml:space="preserve">normattiva2md</w:t>
              </w:r>
            </w:hyperlink>
            <w:r>
              <w:t xml:space="preserve">, uno strumento che trasforma i testi delle leggi italiane in formato leggibile e pronto per l’uso con intelligenze artificiali.</w:t>
            </w:r>
          </w:p>
        </w:tc>
      </w:tr>
    </w:tbl>
    <w:bookmarkStart w:id="24" w:name="cronologia-aggiornamenti"/>
    <w:p>
      <w:pPr>
        <w:pStyle w:val="Heading2"/>
      </w:pPr>
      <w:r>
        <w:t xml:space="preserve">📝 Cronologia aggiornamenti</w:t>
      </w:r>
    </w:p>
    <w:p>
      <w:pPr>
        <w:pStyle w:val="FirstParagraph"/>
      </w:pPr>
      <w:r>
        <w:rPr>
          <w:b/>
          <w:bCs/>
        </w:rPr>
        <w:t xml:space="preserve">2026-01-07</w:t>
      </w:r>
    </w:p>
    <w:p>
      <w:pPr>
        <w:pStyle w:val="Compact"/>
        <w:numPr>
          <w:ilvl w:val="0"/>
          <w:numId w:val="1001"/>
        </w:numPr>
      </w:pPr>
      <w:r>
        <w:t xml:space="preserve">Aggiunti 3 reati previsti dalla</w:t>
      </w:r>
      <w:r>
        <w:t xml:space="preserve"> </w:t>
      </w:r>
      <w:hyperlink w:anchor="X49874747a195fe910f2cb4ccbae75685d83bd7b">
        <w:r>
          <w:rPr>
            <w:rStyle w:val="Hyperlink"/>
          </w:rPr>
          <w:t xml:space="preserve">Direttiva UE 2024/1385</w:t>
        </w:r>
      </w:hyperlink>
      <w:r>
        <w:t xml:space="preserve"> </w:t>
      </w:r>
      <w:r>
        <w:t xml:space="preserve">(stalking online, molestie online, istigazione alla violenza/odio online) per anticipare il recepimento normativo</w:t>
      </w:r>
    </w:p>
    <w:p>
      <w:pPr>
        <w:pStyle w:val="FirstParagraph"/>
      </w:pPr>
      <w:r>
        <w:rPr>
          <w:b/>
          <w:bCs/>
        </w:rPr>
        <w:t xml:space="preserve">2025-12-26</w:t>
      </w:r>
    </w:p>
    <w:p>
      <w:pPr>
        <w:pStyle w:val="Compact"/>
        <w:numPr>
          <w:ilvl w:val="0"/>
          <w:numId w:val="1002"/>
        </w:numPr>
      </w:pPr>
      <w:r>
        <w:t xml:space="preserve">Aggiunto riferimento alla</w:t>
      </w:r>
      <w:r>
        <w:t xml:space="preserve"> </w:t>
      </w:r>
      <w:hyperlink w:anchor="X18d892d27c753998d8517bf09b9cf589592781b">
        <w:r>
          <w:rPr>
            <w:rStyle w:val="Hyperlink"/>
          </w:rPr>
          <w:t xml:space="preserve">Legge 181/2025 sul femminicidio</w:t>
        </w:r>
      </w:hyperlink>
    </w:p>
    <w:p>
      <w:pPr>
        <w:pStyle w:val="Compact"/>
        <w:numPr>
          <w:ilvl w:val="0"/>
          <w:numId w:val="1002"/>
        </w:numPr>
      </w:pPr>
      <w:r>
        <w:t xml:space="preserve">Integrato</w:t>
      </w:r>
      <w:r>
        <w:t xml:space="preserve"> </w:t>
      </w:r>
      <w:hyperlink w:anchor="X49874747a195fe910f2cb4ccbae75685d83bd7b">
        <w:r>
          <w:rPr>
            <w:rStyle w:val="Hyperlink"/>
          </w:rPr>
          <w:t xml:space="preserve">contesto normativo europeo</w:t>
        </w:r>
      </w:hyperlink>
      <w:r>
        <w:t xml:space="preserve"> </w:t>
      </w:r>
      <w:r>
        <w:t xml:space="preserve">(Direttiva UE 2024/1385)</w:t>
      </w:r>
    </w:p>
    <w:p>
      <w:r>
        <w:pict>
          <v:rect style="width:0;height:1.5pt" o:hralign="center" o:hrstd="t" o:hr="t"/>
        </w:pict>
      </w:r>
    </w:p>
    <w:bookmarkEnd w:id="24"/>
    <w:bookmarkStart w:id="27" w:name="introduzione"/>
    <w:p>
      <w:pPr>
        <w:pStyle w:val="Heading2"/>
      </w:pPr>
      <w:r>
        <w:t xml:space="preserve">Introduzione</w:t>
      </w:r>
    </w:p>
    <w:p>
      <w:pPr>
        <w:pStyle w:val="FirstParagraph"/>
      </w:pPr>
      <w:r>
        <w:t xml:space="preserve">Questa pagina definisce una proposta di schema dati da pubblicare sul tema dei femminicidi e della violenza di genere, basata principalmente sulla normativa corrente italiana e in particolare sulla</w:t>
      </w:r>
      <w:r>
        <w:t xml:space="preserve"> </w:t>
      </w:r>
      <w:hyperlink r:id="rId25">
        <w:r>
          <w:rPr>
            <w:rStyle w:val="Hyperlink"/>
            <w:b/>
            <w:bCs/>
          </w:rPr>
          <w:t xml:space="preserve">Legge 53 del 5 maggio 2022</w:t>
        </w:r>
      </w:hyperlink>
      <w:r>
        <w:t xml:space="preserve"> </w:t>
      </w:r>
      <w:r>
        <w:t xml:space="preserve">(</w:t>
      </w:r>
      <w:r>
        <w:t xml:space="preserve">“Disposizioni in materia di statistiche in tema di violenza di genere”</w:t>
      </w:r>
      <w:r>
        <w:t xml:space="preserve">).</w:t>
      </w:r>
    </w:p>
    <w:p>
      <w:pPr>
        <w:pStyle w:val="BodyText"/>
      </w:pPr>
      <w:r>
        <w:t xml:space="preserve">La Legge 53/2022 prevede:</w:t>
      </w:r>
    </w:p>
    <w:p>
      <w:pPr>
        <w:pStyle w:val="Compact"/>
        <w:numPr>
          <w:ilvl w:val="0"/>
          <w:numId w:val="1003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Centro elaborazione dati</w:t>
      </w:r>
      <w:r>
        <w:t xml:space="preserve"> </w:t>
      </w:r>
      <w:r>
        <w:t xml:space="preserve">presso il Ministero della Giustizia per rilevare i dati su 27 reati di violenza (</w:t>
      </w:r>
      <w:hyperlink r:id="rId26">
        <w:r>
          <w:rPr>
            <w:rStyle w:val="Hyperlink"/>
          </w:rPr>
          <w:t xml:space="preserve">art. 5, comma 3</w:t>
        </w:r>
      </w:hyperlink>
      <w:r>
        <w:t xml:space="preserve">)</w:t>
      </w:r>
    </w:p>
    <w:p>
      <w:pPr>
        <w:pStyle w:val="Compact"/>
        <w:numPr>
          <w:ilvl w:val="0"/>
          <w:numId w:val="1003"/>
        </w:numPr>
      </w:pPr>
      <w:r>
        <w:t xml:space="preserve">Un</w:t>
      </w:r>
      <w:r>
        <w:t xml:space="preserve"> </w:t>
      </w:r>
      <w:r>
        <w:rPr>
          <w:b/>
          <w:bCs/>
        </w:rPr>
        <w:t xml:space="preserve">Sistema interministeriale</w:t>
      </w:r>
      <w:r>
        <w:t xml:space="preserve"> </w:t>
      </w:r>
      <w:r>
        <w:t xml:space="preserve">per tracciare denunce, misure di protezione e procedimenti giudiziari (</w:t>
      </w:r>
      <w:hyperlink r:id="rId26">
        <w:r>
          <w:rPr>
            <w:rStyle w:val="Hyperlink"/>
          </w:rPr>
          <w:t xml:space="preserve">art. 5, commi 4-5</w:t>
        </w:r>
      </w:hyperlink>
      <w:r>
        <w:t xml:space="preserve">)</w:t>
      </w:r>
    </w:p>
    <w:p>
      <w:pPr>
        <w:pStyle w:val="Compact"/>
        <w:numPr>
          <w:ilvl w:val="0"/>
          <w:numId w:val="1003"/>
        </w:numPr>
      </w:pPr>
      <w:r>
        <w:t xml:space="preserve">Trasmissione periodica dei dati all’ISTAT e al Dipartimento per le Pari Opportunità</w:t>
      </w:r>
    </w:p>
    <w:p>
      <w:pPr>
        <w:pStyle w:val="FirstParagraph"/>
      </w:pPr>
      <w:r>
        <w:t xml:space="preserve">Lo schema proposto traduce i requisiti normativi in una struttura dati concreta e pubblicabile, pronta per l’implementazione.</w:t>
      </w:r>
    </w:p>
    <w:p>
      <w:r>
        <w:pict>
          <v:rect style="width:0;height:1.5pt" o:hralign="center" o:hrstd="t" o:hr="t"/>
        </w:pict>
      </w:r>
    </w:p>
    <w:bookmarkEnd w:id="27"/>
    <w:bookmarkStart w:id="33" w:name="X18d892d27c753998d8517bf09b9cf589592781b"/>
    <w:p>
      <w:pPr>
        <w:pStyle w:val="Heading2"/>
      </w:pPr>
      <w:r>
        <w:t xml:space="preserve">Supporto normativo aggiuntivo: la Legge 181/2025</w:t>
      </w:r>
    </w:p>
    <w:p>
      <w:pPr>
        <w:pStyle w:val="FirstParagraph"/>
      </w:pPr>
      <w:r>
        <w:t xml:space="preserve">A ulteriore supporto della richiesta, la recente</w:t>
      </w:r>
      <w:r>
        <w:t xml:space="preserve"> </w:t>
      </w:r>
      <w:hyperlink r:id="rId28">
        <w:r>
          <w:rPr>
            <w:rStyle w:val="Hyperlink"/>
            <w:b/>
            <w:bCs/>
          </w:rPr>
          <w:t xml:space="preserve">Legge 181 del 2 dicembre 2025</w:t>
        </w:r>
      </w:hyperlink>
      <w:r>
        <w:t xml:space="preserve"> </w:t>
      </w:r>
      <w:r>
        <w:t xml:space="preserve">(</w:t>
      </w:r>
      <w:r>
        <w:t xml:space="preserve">“Introduzione del delitto di femminicidio e altri interventi normativi per il contrasto alla violenza nei confronti delle donne e per la tutela delle vittime”</w:t>
      </w:r>
      <w:r>
        <w:t xml:space="preserve">) introduce elementi importanti che rafforzano l’esigenza di un sistema di raccolta dati strutturato: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Nuovo reato di femminicidio</w:t>
      </w:r>
      <w:r>
        <w:t xml:space="preserve">: L’</w:t>
      </w:r>
      <w:hyperlink r:id="rId29">
        <w:r>
          <w:rPr>
            <w:rStyle w:val="Hyperlink"/>
          </w:rPr>
          <w:t xml:space="preserve">articolo 1, lettera a)</w:t>
        </w:r>
      </w:hyperlink>
      <w:r>
        <w:t xml:space="preserve"> </w:t>
      </w:r>
      <w:r>
        <w:t xml:space="preserve">introduce il nuovo art. 577-bis CP (Femminicidio). L’</w:t>
      </w:r>
      <w:hyperlink r:id="rId30">
        <w:r>
          <w:rPr>
            <w:rStyle w:val="Hyperlink"/>
          </w:rPr>
          <w:t xml:space="preserve">articolo 13</w:t>
        </w:r>
      </w:hyperlink>
      <w:r>
        <w:t xml:space="preserve"> </w:t>
      </w:r>
      <w:r>
        <w:t xml:space="preserve">stabilisce che</w:t>
      </w:r>
      <w:r>
        <w:t xml:space="preserve"> </w:t>
      </w:r>
      <w:r>
        <w:t xml:space="preserve">“tutte le volte in cui la legge fa riferimento all’omicidio il richiamo si intende operato anche al femminicidio”</w:t>
      </w:r>
      <w:r>
        <w:t xml:space="preserve">, rendendo il femminicidio parte integrante della L. 53/2022.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Relazione annuale al Parlamento</w:t>
      </w:r>
      <w:r>
        <w:t xml:space="preserve">: L’</w:t>
      </w:r>
      <w:hyperlink r:id="rId31">
        <w:r>
          <w:rPr>
            <w:rStyle w:val="Hyperlink"/>
          </w:rPr>
          <w:t xml:space="preserve">articolo 2</w:t>
        </w:r>
      </w:hyperlink>
      <w:r>
        <w:t xml:space="preserve"> </w:t>
      </w:r>
      <w:r>
        <w:t xml:space="preserve">prevede che entro il 30 giugno di ogni anno il Ministro della Giustizia presenti alle Camere una relazione con l’indicazione specifica dei</w:t>
      </w:r>
      <w:r>
        <w:t xml:space="preserve"> </w:t>
      </w:r>
      <w:r>
        <w:rPr>
          <w:b/>
          <w:bCs/>
        </w:rPr>
        <w:t xml:space="preserve">dati delle condanne e assoluzioni per femminicidio</w:t>
      </w:r>
      <w:r>
        <w:t xml:space="preserve"> </w:t>
      </w:r>
      <w:r>
        <w:t xml:space="preserve">nonché per omicidio,</w:t>
      </w:r>
      <w:r>
        <w:t xml:space="preserve"> </w:t>
      </w:r>
      <w:r>
        <w:rPr>
          <w:b/>
          <w:bCs/>
        </w:rPr>
        <w:t xml:space="preserve">disaggregati per sesso della vittima e circostanze aggravanti</w:t>
      </w:r>
      <w:r>
        <w:t xml:space="preserve">. Questo conferma l’esigenza di un sistema di raccolta dati dettagliato, strutturato e pubblicamente accessibile.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Nuove aggravanti di genere</w:t>
      </w:r>
      <w:r>
        <w:t xml:space="preserve">: L’</w:t>
      </w:r>
      <w:hyperlink r:id="rId29">
        <w:r>
          <w:rPr>
            <w:rStyle w:val="Hyperlink"/>
          </w:rPr>
          <w:t xml:space="preserve">articolo 1</w:t>
        </w:r>
      </w:hyperlink>
      <w:r>
        <w:t xml:space="preserve"> </w:t>
      </w:r>
      <w:r>
        <w:t xml:space="preserve">introduce aggravanti specifiche quando il reato è commesso</w:t>
      </w:r>
      <w:r>
        <w:t xml:space="preserve"> </w:t>
      </w:r>
      <w:r>
        <w:t xml:space="preserve">“come atto di odio o discriminazione o prevaricazione… in quanto donna”</w:t>
      </w:r>
      <w:r>
        <w:t xml:space="preserve"> </w:t>
      </w:r>
      <w:r>
        <w:t xml:space="preserve">per diversi reati (maltrattamenti, lesioni personali, stalking, revenge porn, violenza sessuale, interruzione di gravidanza).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Nuovi eventi procedurali</w:t>
      </w:r>
      <w:r>
        <w:t xml:space="preserve">: L’</w:t>
      </w:r>
      <w:hyperlink r:id="rId32">
        <w:r>
          <w:rPr>
            <w:rStyle w:val="Hyperlink"/>
          </w:rPr>
          <w:t xml:space="preserve">articolo 3</w:t>
        </w:r>
      </w:hyperlink>
      <w:r>
        <w:t xml:space="preserve"> </w:t>
      </w:r>
      <w:r>
        <w:t xml:space="preserve">introduce l’obbligo di audizione personale della vittima da parte del PM su richiesta motivata e la possibilità di sequestro conservativo per garantire il risarcimento danni.</w:t>
      </w:r>
    </w:p>
    <w:p>
      <w:pPr>
        <w:pStyle w:val="FirstParagraph"/>
      </w:pPr>
      <w:r>
        <w:t xml:space="preserve">Questi elementi sono stati integrati nello schema dati proposto.</w:t>
      </w:r>
    </w:p>
    <w:p>
      <w:r>
        <w:pict>
          <v:rect style="width:0;height:1.5pt" o:hralign="center" o:hrstd="t" o:hr="t"/>
        </w:pict>
      </w:r>
    </w:p>
    <w:bookmarkEnd w:id="33"/>
    <w:bookmarkStart w:id="38" w:name="X1a089d7b8c19b5da0d897b354726652e2320d5b"/>
    <w:p>
      <w:pPr>
        <w:pStyle w:val="Heading2"/>
      </w:pPr>
      <w:r>
        <w:t xml:space="preserve">Nota metodologica: gestione della cardinalità</w:t>
      </w:r>
    </w:p>
    <w:p>
      <w:pPr>
        <w:pStyle w:val="FirstParagraph"/>
      </w:pPr>
      <w:r>
        <w:t xml:space="preserve">Prima di presentare lo schema dati, è importante chiarire un aspetto tecnico fondamentale per garantire la</w:t>
      </w:r>
      <w:r>
        <w:t xml:space="preserve"> </w:t>
      </w:r>
      <w:r>
        <w:rPr>
          <w:b/>
          <w:bCs/>
        </w:rPr>
        <w:t xml:space="preserve">completezza e l’accuratezza</w:t>
      </w:r>
      <w:r>
        <w:t xml:space="preserve"> </w:t>
      </w:r>
      <w:r>
        <w:t xml:space="preserve">delle informazioni raccolte.</w:t>
      </w:r>
    </w:p>
    <w:bookmarkStart w:id="34" w:name="il-problema"/>
    <w:p>
      <w:pPr>
        <w:pStyle w:val="Heading3"/>
      </w:pPr>
      <w:r>
        <w:t xml:space="preserve">Il problema</w:t>
      </w:r>
    </w:p>
    <w:p>
      <w:pPr>
        <w:pStyle w:val="FirstParagraph"/>
      </w:pPr>
      <w:r>
        <w:t xml:space="preserve">Nella realtà dei reati di violenza di genere,</w:t>
      </w:r>
      <w:r>
        <w:t xml:space="preserve"> </w:t>
      </w:r>
      <w:r>
        <w:rPr>
          <w:b/>
          <w:bCs/>
        </w:rPr>
        <w:t xml:space="preserve">non sempre esiste una corrispondenza uno-a-uno</w:t>
      </w:r>
      <w:r>
        <w:t xml:space="preserve"> </w:t>
      </w:r>
      <w:r>
        <w:t xml:space="preserve">tra evento, vittima e autore. Alcuni esempi concreti: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Caso 1 - Violenza sessuale di gruppo</w:t>
      </w:r>
      <w:r>
        <w:t xml:space="preserve"> </w:t>
      </w:r>
      <w:r>
        <w:t xml:space="preserve">(Art. 609-octies CP).</w:t>
      </w:r>
      <w:r>
        <w:t xml:space="preserve"> </w:t>
      </w:r>
      <w:r>
        <w:t xml:space="preserve">Una donna viene aggredita da 3 uomini.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vittima</w:t>
      </w:r>
      <w:r>
        <w:t xml:space="preserve">, ma</w:t>
      </w:r>
      <w:r>
        <w:t xml:space="preserve"> </w:t>
      </w:r>
      <w:r>
        <w:rPr>
          <w:b/>
          <w:bCs/>
        </w:rPr>
        <w:t xml:space="preserve">3 autori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Caso 2 - Maltrattamenti in famiglia</w:t>
      </w:r>
      <w:r>
        <w:t xml:space="preserve"> </w:t>
      </w:r>
      <w:r>
        <w:t xml:space="preserve">(Art. 572 CP).</w:t>
      </w:r>
      <w:r>
        <w:t xml:space="preserve"> </w:t>
      </w:r>
      <w:r>
        <w:t xml:space="preserve">Un uomo maltratta la moglie e i due figli.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autore</w:t>
      </w:r>
      <w:r>
        <w:t xml:space="preserve">, ma</w:t>
      </w:r>
      <w:r>
        <w:t xml:space="preserve"> </w:t>
      </w:r>
      <w:r>
        <w:rPr>
          <w:b/>
          <w:bCs/>
        </w:rPr>
        <w:t xml:space="preserve">3 vittime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Caso 3 - Reati multipli simultanei</w:t>
      </w:r>
      <w:r>
        <w:t xml:space="preserve">.</w:t>
      </w:r>
      <w:r>
        <w:t xml:space="preserve"> </w:t>
      </w:r>
      <w:r>
        <w:t xml:space="preserve">Durante un episodio di violenza domestica, l’autore commette lesioni personali, violenza privata e minaccia. Questo è</w:t>
      </w:r>
      <w:r>
        <w:t xml:space="preserve"> </w:t>
      </w:r>
      <w:r>
        <w:rPr>
          <w:b/>
          <w:bCs/>
        </w:rPr>
        <w:t xml:space="preserve">1 evento</w:t>
      </w:r>
      <w:r>
        <w:t xml:space="preserve">,</w:t>
      </w:r>
      <w:r>
        <w:t xml:space="preserve"> </w:t>
      </w:r>
      <w:r>
        <w:rPr>
          <w:b/>
          <w:bCs/>
        </w:rPr>
        <w:t xml:space="preserve">1 vittima</w:t>
      </w:r>
      <w:r>
        <w:t xml:space="preserve">,</w:t>
      </w:r>
      <w:r>
        <w:t xml:space="preserve"> </w:t>
      </w:r>
      <w:r>
        <w:rPr>
          <w:b/>
          <w:bCs/>
        </w:rPr>
        <w:t xml:space="preserve">1 autore</w:t>
      </w:r>
      <w:r>
        <w:t xml:space="preserve">, ma</w:t>
      </w:r>
      <w:r>
        <w:t xml:space="preserve"> </w:t>
      </w:r>
      <w:r>
        <w:rPr>
          <w:b/>
          <w:bCs/>
        </w:rPr>
        <w:t xml:space="preserve">3 reati</w:t>
      </w:r>
      <w:r>
        <w:t xml:space="preserve"> </w:t>
      </w:r>
      <w:r>
        <w:t xml:space="preserve">distinti.</w:t>
      </w:r>
    </w:p>
    <w:bookmarkEnd w:id="34"/>
    <w:bookmarkStart w:id="35" w:name="la-soluzione-proposta"/>
    <w:p>
      <w:pPr>
        <w:pStyle w:val="Heading3"/>
      </w:pPr>
      <w:r>
        <w:t xml:space="preserve">La soluzione proposta</w:t>
      </w:r>
    </w:p>
    <w:p>
      <w:pPr>
        <w:pStyle w:val="FirstParagraph"/>
      </w:pPr>
      <w:r>
        <w:t xml:space="preserve">Per gestire correttamente questi casi senza perdere informazioni, proponiamo uno</w:t>
      </w:r>
      <w:r>
        <w:t xml:space="preserve"> </w:t>
      </w:r>
      <w:r>
        <w:rPr>
          <w:b/>
          <w:bCs/>
        </w:rPr>
        <w:t xml:space="preserve">schema con identificativi anonimi</w:t>
      </w:r>
      <w:r>
        <w:t xml:space="preserve"> </w:t>
      </w:r>
      <w:r>
        <w:t xml:space="preserve">che permettono di collegare tra loro le diverse componenti mantenendo una singola tabella di facile utilizzo: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id_evento</w:t>
      </w:r>
      <w:r>
        <w:t xml:space="preserve">: identifica l’episodio di violenza (es.</w:t>
      </w:r>
      <w:r>
        <w:t xml:space="preserve"> </w:t>
      </w:r>
      <w:r>
        <w:rPr>
          <w:rStyle w:val="VerbatimChar"/>
        </w:rPr>
        <w:t xml:space="preserve">EVT-2024-001234</w:t>
      </w:r>
      <w:r>
        <w:t xml:space="preserve">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id_vittima_anonimizzato</w:t>
      </w:r>
      <w:r>
        <w:t xml:space="preserve">: identifica in modo anonimizzato la persona vittima (es.</w:t>
      </w:r>
      <w:r>
        <w:t xml:space="preserve"> </w:t>
      </w:r>
      <w:r>
        <w:rPr>
          <w:rStyle w:val="VerbatimChar"/>
        </w:rPr>
        <w:t xml:space="preserve">VIT-A3F8B2C1</w:t>
      </w:r>
      <w:r>
        <w:t xml:space="preserve">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  <w:b/>
          <w:bCs/>
        </w:rPr>
        <w:t xml:space="preserve">id_autore_anonimizzato</w:t>
      </w:r>
      <w:r>
        <w:t xml:space="preserve">: identifica in modo anonimizzato l’autore del reato (es.</w:t>
      </w:r>
      <w:r>
        <w:t xml:space="preserve"> </w:t>
      </w:r>
      <w:r>
        <w:rPr>
          <w:rStyle w:val="VerbatimChar"/>
        </w:rPr>
        <w:t xml:space="preserve">AUT-7D9E4F2A</w:t>
      </w:r>
      <w:r>
        <w:t xml:space="preserve">)</w:t>
      </w:r>
    </w:p>
    <w:p>
      <w:pPr>
        <w:pStyle w:val="FirstParagraph"/>
      </w:pPr>
      <w:r>
        <w:t xml:space="preserve">Ogni</w:t>
      </w:r>
      <w:r>
        <w:t xml:space="preserve"> </w:t>
      </w:r>
      <w:r>
        <w:rPr>
          <w:b/>
          <w:bCs/>
        </w:rPr>
        <w:t xml:space="preserve">riga</w:t>
      </w:r>
      <w:r>
        <w:t xml:space="preserve"> </w:t>
      </w:r>
      <w:r>
        <w:t xml:space="preserve">del dataset rappresenta una</w:t>
      </w:r>
      <w:r>
        <w:t xml:space="preserve"> </w:t>
      </w:r>
      <w:r>
        <w:rPr>
          <w:b/>
          <w:bCs/>
        </w:rPr>
        <w:t xml:space="preserve">combinazione</w:t>
      </w:r>
      <w:r>
        <w:t xml:space="preserve"> </w:t>
      </w:r>
      <w:r>
        <w:t xml:space="preserve">di evento-vittima-autore-reato.</w:t>
      </w:r>
    </w:p>
    <w:bookmarkEnd w:id="35"/>
    <w:bookmarkStart w:id="36" w:name="esempio-pratico"/>
    <w:p>
      <w:pPr>
        <w:pStyle w:val="Heading3"/>
      </w:pPr>
      <w:r>
        <w:t xml:space="preserve">Esempio pratico</w:t>
      </w:r>
    </w:p>
    <w:p>
      <w:pPr>
        <w:pStyle w:val="FirstParagraph"/>
      </w:pPr>
      <w:r>
        <w:rPr>
          <w:b/>
          <w:bCs/>
        </w:rPr>
        <w:t xml:space="preserve">Scenario</w:t>
      </w:r>
      <w:r>
        <w:t xml:space="preserve">: Violenza sessuale di gruppo con 3 autori e 1 vittima, avvenuta il 15 marzo 2024.</w:t>
      </w:r>
    </w:p>
    <w:p>
      <w:pPr>
        <w:pStyle w:val="BodyText"/>
      </w:pPr>
      <w:r>
        <w:t xml:space="preserve">Il dataset conterrà</w:t>
      </w:r>
      <w:r>
        <w:t xml:space="preserve"> </w:t>
      </w:r>
      <w:r>
        <w:rPr>
          <w:b/>
          <w:bCs/>
        </w:rPr>
        <w:t xml:space="preserve">3 righe</w:t>
      </w:r>
      <w:r>
        <w:t xml:space="preserve">:</w:t>
      </w:r>
    </w:p>
    <w:p>
      <w:pPr>
        <w:pStyle w:val="TableCaption"/>
      </w:pPr>
      <w:r>
        <w:t xml:space="preserve">Esempio di struttura dati per violenza sessuale di gruppo con 3 autori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Esempio di struttura dati per violenza sessuale di gruppo con 3 autori"/>
      </w:tblPr>
      <w:tblGrid>
        <w:gridCol w:w="898"/>
        <w:gridCol w:w="979"/>
        <w:gridCol w:w="979"/>
        <w:gridCol w:w="1061"/>
        <w:gridCol w:w="898"/>
        <w:gridCol w:w="979"/>
        <w:gridCol w:w="212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id_vittima</w:t>
            </w:r>
          </w:p>
        </w:tc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id_autore</w:t>
            </w:r>
          </w:p>
        </w:tc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AUT-7D9E4F2A</w:t>
            </w:r>
          </w:p>
        </w:tc>
        <w:tc>
          <w:tcPr/>
          <w:p>
            <w:pPr>
              <w:pStyle w:val="Compact"/>
            </w:pPr>
            <w:r>
              <w:t xml:space="preserve">28</w:t>
            </w:r>
          </w:p>
        </w:tc>
        <w:tc>
          <w:tcPr/>
          <w:p>
            <w:pPr>
              <w:pStyle w:val="Compact"/>
            </w:pPr>
            <w:r>
              <w:t xml:space="preserve">Conoscente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AUT-3B5C8E1F</w:t>
            </w:r>
          </w:p>
        </w:tc>
        <w:tc>
          <w:tcPr/>
          <w:p>
            <w:pPr>
              <w:pStyle w:val="Compact"/>
            </w:pPr>
            <w:r>
              <w:t xml:space="preserve">31</w:t>
            </w:r>
          </w:p>
        </w:tc>
        <w:tc>
          <w:tcPr/>
          <w:p>
            <w:pPr>
              <w:pStyle w:val="Compact"/>
            </w:pPr>
            <w:r>
              <w:t xml:space="preserve">Conoscente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EVT-2024-001234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AUT-9F2A6D4C</w:t>
            </w:r>
          </w:p>
        </w:tc>
        <w:tc>
          <w:tcPr/>
          <w:p>
            <w:pPr>
              <w:pStyle w:val="Compact"/>
            </w:pPr>
            <w:r>
              <w:t xml:space="preserve">26</w:t>
            </w:r>
          </w:p>
        </w:tc>
        <w:tc>
          <w:tcPr/>
          <w:p>
            <w:pPr>
              <w:pStyle w:val="Compact"/>
            </w:pPr>
            <w:r>
              <w:t xml:space="preserve">Sconosciuto</w:t>
            </w:r>
          </w:p>
        </w:tc>
      </w:tr>
    </w:tbl>
    <w:p>
      <w:pPr>
        <w:pStyle w:val="BodyText"/>
      </w:pPr>
      <w:r>
        <w:rPr>
          <w:b/>
          <w:bCs/>
        </w:rPr>
        <w:t xml:space="preserve">Come leggere i dati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id_evento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stesso episodio di violenza</w:t>
      </w:r>
    </w:p>
    <w:p>
      <w:pPr>
        <w:pStyle w:val="Compact"/>
        <w:numPr>
          <w:ilvl w:val="0"/>
          <w:numId w:val="1007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id_vittima_anonimizzato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stessa persona vittima</w:t>
      </w:r>
      <w:r>
        <w:t xml:space="preserve"> </w:t>
      </w:r>
      <w:r>
        <w:t xml:space="preserve">(l’età 23 si ripete)</w:t>
      </w:r>
    </w:p>
    <w:p>
      <w:pPr>
        <w:pStyle w:val="Compact"/>
        <w:numPr>
          <w:ilvl w:val="0"/>
          <w:numId w:val="1007"/>
        </w:numPr>
      </w:pPr>
      <w:r>
        <w:t xml:space="preserve">Diverso</w:t>
      </w:r>
      <w:r>
        <w:t xml:space="preserve"> </w:t>
      </w:r>
      <w:r>
        <w:rPr>
          <w:rStyle w:val="VerbatimChar"/>
        </w:rPr>
        <w:t xml:space="preserve">id_autore_anonimizzato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autori diversi</w:t>
      </w:r>
      <w:r>
        <w:t xml:space="preserve"> </w:t>
      </w:r>
      <w:r>
        <w:t xml:space="preserve">(3 persone con età diverse)</w:t>
      </w:r>
    </w:p>
    <w:bookmarkEnd w:id="36"/>
    <w:bookmarkStart w:id="37" w:name="vantaggi-per-lanalisi"/>
    <w:p>
      <w:pPr>
        <w:pStyle w:val="Heading3"/>
      </w:pPr>
      <w:r>
        <w:t xml:space="preserve">Vantaggi per l’analisi</w:t>
      </w:r>
    </w:p>
    <w:p>
      <w:pPr>
        <w:pStyle w:val="FirstParagraph"/>
      </w:pPr>
      <w:r>
        <w:t xml:space="preserve">Questo approccio permette di calcolare correttamente: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Numero di eventi reali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id_evento)</w:t>
      </w:r>
      <w:r>
        <w:t xml:space="preserve"> </w:t>
      </w:r>
      <w:r>
        <w:t xml:space="preserve">→ 1 evento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Numero di vittime uniche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id_vittima_anonimizzato)</w:t>
      </w:r>
      <w:r>
        <w:t xml:space="preserve"> </w:t>
      </w:r>
      <w:r>
        <w:t xml:space="preserve">→ 1 vittima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Numero di autori unici</w:t>
      </w:r>
      <w:r>
        <w:t xml:space="preserve">:</w:t>
      </w:r>
      <w:r>
        <w:t xml:space="preserve"> </w:t>
      </w:r>
      <w:r>
        <w:rPr>
          <w:rStyle w:val="VerbatimChar"/>
        </w:rPr>
        <w:t xml:space="preserve">COUNT(DISTINCT id_autore_anonimizzato)</w:t>
      </w:r>
      <w:r>
        <w:t xml:space="preserve"> </w:t>
      </w:r>
      <w:r>
        <w:t xml:space="preserve">→ 3 autori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Numero totale di righe</w:t>
      </w:r>
      <w:r>
        <w:t xml:space="preserve">: 3 (una per ogni combinazione autore-vittima)</w:t>
      </w:r>
    </w:p>
    <w:p>
      <w:pPr>
        <w:pStyle w:val="FirstParagraph"/>
      </w:pPr>
      <w:r>
        <w:t xml:space="preserve">Senza gli identificativi univoci,</w:t>
      </w:r>
      <w:r>
        <w:t xml:space="preserve"> </w:t>
      </w:r>
      <w:r>
        <w:rPr>
          <w:b/>
          <w:bCs/>
        </w:rPr>
        <w:t xml:space="preserve">sarebbe impossibile distinguere</w:t>
      </w:r>
      <w:r>
        <w:t xml:space="preserve"> </w:t>
      </w:r>
      <w:r>
        <w:t xml:space="preserve">3 eventi separati da 1 evento con 3 autori.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7" w:name="schema-dati"/>
    <w:p>
      <w:pPr>
        <w:pStyle w:val="Heading2"/>
      </w:pPr>
      <w:r>
        <w:t xml:space="preserve">Schema Dati</w:t>
      </w:r>
    </w:p>
    <w:bookmarkStart w:id="42" w:name="X82e6d8574f2a4c6c453a093bffdae624afc80f8"/>
    <w:p>
      <w:pPr>
        <w:pStyle w:val="Heading3"/>
      </w:pPr>
      <w:r>
        <w:t xml:space="preserve">Dataset: Centro Elaborazione Dati - Reati di Violenza di Genere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Questo dataset contiene le informazioni che il Ministero della Giustizia e dell’Interno devono rilevare, con trasmissione periodica all’ISTAT e al Dipartimento per le Pari Opportunità.</w:t>
      </w:r>
    </w:p>
    <w:p>
      <w:pPr>
        <w:pStyle w:val="BodyText"/>
      </w:pPr>
      <w:r>
        <w:rPr>
          <w:b/>
          <w:bCs/>
        </w:rPr>
        <w:t xml:space="preserve">Struttura</w:t>
      </w:r>
      <w:r>
        <w:t xml:space="preserve">: Come spiegato nella</w:t>
      </w:r>
      <w:r>
        <w:t xml:space="preserve"> </w:t>
      </w:r>
      <w:hyperlink w:anchor="X1a089d7b8c19b5da0d897b354726652e2320d5b">
        <w:r>
          <w:rPr>
            <w:rStyle w:val="Hyperlink"/>
          </w:rPr>
          <w:t xml:space="preserve">nota metodologica</w:t>
        </w:r>
      </w:hyperlink>
      <w:r>
        <w:t xml:space="preserve">, ogni riga rappresenta una combinazione di evento-vittima-autore-reato. Gli identificativi anonimi permettono di gestire correttamente i casi con multipli autori, vittime o reati.</w:t>
      </w:r>
    </w:p>
    <w:p>
      <w:pPr>
        <w:pStyle w:val="TableCaption"/>
      </w:pPr>
      <w:r>
        <w:t xml:space="preserve">Schema del dataset Centro Elaborazione Dati - Reati di Violenza di Genere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Schema del dataset Centro Elaborazione Dati - Reati di Violenza di Genere"/>
      </w:tblPr>
      <w:tblGrid>
        <w:gridCol w:w="3065"/>
        <w:gridCol w:w="1532"/>
        <w:gridCol w:w="332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 Campo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dell’episodio di violenza. Formato:</w:t>
            </w:r>
            <w:r>
              <w:t xml:space="preserve"> </w:t>
            </w:r>
            <w:r>
              <w:rPr>
                <w:rStyle w:val="VerbatimChar"/>
              </w:rPr>
              <w:t xml:space="preserve">EVT-{anno}-{progressivo}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EVT-2024-001234</w:t>
            </w:r>
            <w:r>
              <w:t xml:space="preserve">). Stesso ID = stesso evento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id_vittima_anonimizzato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della vittima. Formato:</w:t>
            </w:r>
            <w:r>
              <w:t xml:space="preserve"> </w:t>
            </w:r>
            <w:r>
              <w:rPr>
                <w:rStyle w:val="VerbatimChar"/>
              </w:rPr>
              <w:t xml:space="preserve">VIT-{hash}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VIT-A3F8B2C1</w:t>
            </w:r>
            <w:r>
              <w:t xml:space="preserve">). Garantisce l’anonimato e permette di contare vittime uniche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id_autore_anonimizzato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dell’autore. Formato:</w:t>
            </w:r>
            <w:r>
              <w:t xml:space="preserve"> </w:t>
            </w:r>
            <w:r>
              <w:rPr>
                <w:rStyle w:val="VerbatimChar"/>
              </w:rPr>
              <w:t xml:space="preserve">AUT-{hash}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AUT-7D9E4F2A</w:t>
            </w:r>
            <w:r>
              <w:t xml:space="preserve">). Garantisce l’anonimato e permette di contare autori unici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data_fatto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Data in cui è avvenuto il fatto (se nota). Formato:</w:t>
            </w:r>
            <w:r>
              <w:t xml:space="preserve"> </w:t>
            </w:r>
            <w:r>
              <w:rPr>
                <w:rStyle w:val="VerbatimChar"/>
              </w:rPr>
              <w:t xml:space="preserve">AAAA-MM-GG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Codice identificativo del reato, secondo la lista dei 27 reati previsti dall’</w:t>
            </w:r>
            <w:hyperlink r:id="rId26">
              <w:r>
                <w:rPr>
                  <w:rStyle w:val="Hyperlink"/>
                </w:rPr>
                <w:t xml:space="preserve">art. 5 comma 3</w:t>
              </w:r>
            </w:hyperlink>
            <w:r>
              <w:t xml:space="preserve"> </w:t>
            </w:r>
            <w:r>
              <w:t xml:space="preserve">(vedi elenco valori della</w:t>
            </w:r>
            <w:r>
              <w:t xml:space="preserve"> </w:t>
            </w:r>
            <w:hyperlink w:anchor="lista-dei-reati-monitorati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Relazione tra autore e vittima, secondo le 15 modalità obbligatorie definite dall’</w:t>
            </w:r>
            <w:hyperlink r:id="rId39">
              <w:r>
                <w:rPr>
                  <w:rStyle w:val="Hyperlink"/>
                </w:rPr>
                <w:t xml:space="preserve">art. 2 comma 2</w:t>
              </w:r>
            </w:hyperlink>
            <w:r>
              <w:t xml:space="preserve"> </w:t>
            </w:r>
            <w:r>
              <w:t xml:space="preserve">(vedi elenco valori della</w:t>
            </w:r>
            <w:r>
              <w:t xml:space="preserve"> </w:t>
            </w:r>
            <w:hyperlink w:anchor="relazione-autore-vitti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della vittima al momento del fatto (se nota)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della vittima (se noto):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dell’autore del reato al momento del fatto (se nota)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genere_autore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dell’autore del reato (se noto):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luogo_fatto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Informazioni sul luogo dove il fatto è avvenuto (se noto) (vedi elenco valori della</w:t>
            </w:r>
            <w:r>
              <w:t xml:space="preserve"> </w:t>
            </w:r>
            <w:hyperlink w:anchor="luogo-del-fatto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localita_comune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Codice ISTAT del comune dove è avvenuto il fatto.</w:t>
            </w:r>
            <w:r>
              <w:t xml:space="preserve"> </w:t>
            </w:r>
            <w:r>
              <w:rPr>
                <w:b/>
                <w:bCs/>
              </w:rPr>
              <w:t xml:space="preserve">Regola di anonimizzazione</w:t>
            </w:r>
            <w:r>
              <w:t xml:space="preserve">: se il numero di casi nel comune è inferiore a 3, lasciare vuoto e riportare solo la provincia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localita_provincia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Codice ISTAT della provincia dove è avvenuto il fatto. Sempre valorizzato quando la località è nota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tipologia_arma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Tipologia di arma eventualmente utilizzata (se nota) (vedi elenco valori della</w:t>
            </w:r>
            <w:r>
              <w:t xml:space="preserve"> </w:t>
            </w:r>
            <w:hyperlink w:anchor="tipologia-di-ar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 </w:t>
            </w:r>
            <w:r>
              <w:t xml:space="preserve">più in basso)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aggravante_genere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il reato è stato commesso con le aggravanti di genere previste dalla</w:t>
            </w:r>
            <w:r>
              <w:t xml:space="preserve"> </w:t>
            </w:r>
            <w:hyperlink r:id="rId29">
              <w:r>
                <w:rPr>
                  <w:rStyle w:val="Hyperlink"/>
                </w:rPr>
                <w:t xml:space="preserve">L. 181/2025, art. 1</w:t>
              </w:r>
            </w:hyperlink>
            <w:r>
              <w:t xml:space="preserve"> </w:t>
            </w:r>
            <w:r>
              <w:t xml:space="preserve">(</w:t>
            </w:r>
            <w:r>
              <w:t xml:space="preserve">“come atto di odio/discriminazione/prevaricazione… in quanto donna”</w:t>
            </w:r>
            <w:r>
              <w:t xml:space="preserve">). Applicabile a: maltrattamenti (art. 572 c.5 CP), lesioni (art. 585 c.4 CP), interruzione gravidanza (art. 593-ter c.6 CP), violenza sessuale (art. 609-ter 5-ter.1 CP), stalking (art. 612-bis c.4 CP), revenge porn (art. 612-ter c.5 CP)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presenza_figli_durante_fatto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violenza è stata commessa in presenza sul luogo del fatto dei figli degli autori o delle vittime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vittima_ha_figli_minori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vittima ha figli minorenni (rilevante per le tutele previste dalla</w:t>
            </w:r>
            <w:r>
              <w:t xml:space="preserve"> </w:t>
            </w:r>
            <w:hyperlink r:id="rId40">
              <w:r>
                <w:rPr>
                  <w:rStyle w:val="Hyperlink"/>
                </w:rPr>
                <w:t xml:space="preserve">L. 122/2016</w:t>
              </w:r>
            </w:hyperlink>
            <w:r>
              <w:t xml:space="preserve"> </w:t>
            </w:r>
            <w:r>
              <w:t xml:space="preserve">come modificata dalla</w:t>
            </w:r>
            <w:r>
              <w:t xml:space="preserve"> </w:t>
            </w:r>
            <w:hyperlink r:id="rId41">
              <w:r>
                <w:rPr>
                  <w:rStyle w:val="Hyperlink"/>
                </w:rPr>
                <w:t xml:space="preserve">L. 181/2025, art. 4</w:t>
              </w:r>
            </w:hyperlink>
            <w:r>
              <w:t xml:space="preserve"> </w:t>
            </w:r>
            <w:r>
              <w:t xml:space="preserve">- Fondo orfani di crimini domestici)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atti_persecutori</w:t>
            </w:r>
          </w:p>
        </w:tc>
        <w:tc>
          <w:tcPr/>
          <w:p>
            <w:pPr>
              <w:pStyle w:val="Compact"/>
            </w:pPr>
            <w:r>
              <w:t xml:space="preserve">Booleano</w:t>
            </w:r>
          </w:p>
        </w:tc>
        <w:tc>
          <w:tcPr/>
          <w:p>
            <w:pPr>
              <w:pStyle w:val="Compact"/>
            </w:pPr>
            <w:r>
              <w:t xml:space="preserve">Indica se la violenza è stata commessa unitamente ad atti persecutori (stalking)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2"/>
    <w:bookmarkStart w:id="46" w:name="Xc5df7f00d7833f3ab23a7a44c41809d727bdcef"/>
    <w:p>
      <w:pPr>
        <w:pStyle w:val="Heading3"/>
      </w:pPr>
      <w:r>
        <w:t xml:space="preserve">Dataset: Sistema Interministeriale di Raccolta Dati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commi 4 e 5</w:t>
        </w:r>
      </w:hyperlink>
      <w:r>
        <w:t xml:space="preserve"> </w:t>
      </w:r>
      <w:r>
        <w:t xml:space="preserve">della Legge 53/2022</w:t>
      </w:r>
    </w:p>
    <w:bookmarkStart w:id="43" w:name="Xaccc3a85fa4a12913c56cccd30e94b31a2bed9c"/>
    <w:p>
      <w:pPr>
        <w:pStyle w:val="Heading4"/>
      </w:pPr>
      <w:r>
        <w:t xml:space="preserve">Premessa: il percorso della vittima nel sistema giudiziario</w:t>
      </w:r>
    </w:p>
    <w:p>
      <w:pPr>
        <w:pStyle w:val="FirstParagraph"/>
      </w:pPr>
      <w:r>
        <w:t xml:space="preserve">L’</w:t>
      </w:r>
      <w:hyperlink r:id="rId26">
        <w:r>
          <w:rPr>
            <w:rStyle w:val="Hyperlink"/>
          </w:rPr>
          <w:t xml:space="preserve">articolo 5 comma 5</w:t>
        </w:r>
      </w:hyperlink>
      <w:r>
        <w:t xml:space="preserve"> </w:t>
      </w:r>
      <w:r>
        <w:t xml:space="preserve">richiede di tracciare</w:t>
      </w:r>
      <w:r>
        <w:t xml:space="preserve"> </w:t>
      </w:r>
      <w:r>
        <w:t xml:space="preserve">“per ogni donna vittima di violenza”</w:t>
      </w:r>
      <w:r>
        <w:t xml:space="preserve"> </w:t>
      </w:r>
      <w:r>
        <w:t xml:space="preserve">le informazioni su</w:t>
      </w:r>
      <w:r>
        <w:t xml:space="preserve"> </w:t>
      </w:r>
      <w:r>
        <w:rPr>
          <w:b/>
          <w:bCs/>
        </w:rPr>
        <w:t xml:space="preserve">denunce, misure e procedimenti</w:t>
      </w:r>
      <w:r>
        <w:t xml:space="preserve"> </w:t>
      </w:r>
      <w:r>
        <w:t xml:space="preserve">in ogni grado del procedimento giudiziario.</w:t>
      </w:r>
    </w:p>
    <w:p>
      <w:pPr>
        <w:pStyle w:val="BodyText"/>
      </w:pPr>
      <w:r>
        <w:t xml:space="preserve">Nella realtà, una singola vittima può attraversare</w:t>
      </w:r>
      <w:r>
        <w:t xml:space="preserve"> </w:t>
      </w:r>
      <w:r>
        <w:rPr>
          <w:b/>
          <w:bCs/>
        </w:rPr>
        <w:t xml:space="preserve">molteplici fasi</w:t>
      </w:r>
      <w:r>
        <w:t xml:space="preserve"> </w:t>
      </w:r>
      <w:r>
        <w:t xml:space="preserve">nel tempo:</w:t>
      </w:r>
    </w:p>
    <w:p>
      <w:pPr>
        <w:pStyle w:val="BodyText"/>
      </w:pPr>
      <w:r>
        <w:rPr>
          <w:b/>
          <w:bCs/>
        </w:rPr>
        <w:t xml:space="preserve">Esempio di percorso reale</w:t>
      </w:r>
      <w:r>
        <w:t xml:space="preserve">:</w:t>
      </w:r>
    </w:p>
    <w:p>
      <w:pPr>
        <w:pStyle w:val="BodyText"/>
      </w:pPr>
      <w:r>
        <w:t xml:space="preserve">Una donna vittima di violenza domestica potrebbe avere:</w:t>
      </w:r>
      <w:r>
        <w:t xml:space="preserve"> </w:t>
      </w:r>
      <w:r>
        <w:t xml:space="preserve">1.</w:t>
      </w:r>
      <w:r>
        <w:t xml:space="preserve"> </w:t>
      </w:r>
      <w:r>
        <w:rPr>
          <w:b/>
          <w:bCs/>
        </w:rPr>
        <w:t xml:space="preserve">15 marzo 2024</w:t>
      </w:r>
      <w:r>
        <w:t xml:space="preserve">: Prima denuncia per maltrattamenti</w:t>
      </w:r>
      <w:r>
        <w:t xml:space="preserve"> </w:t>
      </w:r>
      <w:r>
        <w:t xml:space="preserve">2.</w:t>
      </w:r>
      <w:r>
        <w:t xml:space="preserve"> </w:t>
      </w:r>
      <w:r>
        <w:rPr>
          <w:b/>
          <w:bCs/>
        </w:rPr>
        <w:t xml:space="preserve">15 marzo 2024</w:t>
      </w:r>
      <w:r>
        <w:t xml:space="preserve">: Allontanamento d’urgenza dell’autore (misura precautelare)</w:t>
      </w:r>
      <w:r>
        <w:t xml:space="preserve"> </w:t>
      </w:r>
      <w:r>
        <w:t xml:space="preserve">3.</w:t>
      </w:r>
      <w:r>
        <w:t xml:space="preserve"> </w:t>
      </w:r>
      <w:r>
        <w:rPr>
          <w:b/>
          <w:bCs/>
        </w:rPr>
        <w:t xml:space="preserve">20 marzo 2024</w:t>
      </w:r>
      <w:r>
        <w:t xml:space="preserve">: Ammonimento del Questore (misura di prevenzione)</w:t>
      </w:r>
      <w:r>
        <w:t xml:space="preserve"> </w:t>
      </w:r>
      <w:r>
        <w:t xml:space="preserve">4.</w:t>
      </w:r>
      <w:r>
        <w:t xml:space="preserve"> </w:t>
      </w:r>
      <w:r>
        <w:rPr>
          <w:b/>
          <w:bCs/>
        </w:rPr>
        <w:t xml:space="preserve">25 marzo 2024</w:t>
      </w:r>
      <w:r>
        <w:t xml:space="preserve">: Divieto di avvicinamento (misura cautelare)</w:t>
      </w:r>
      <w:r>
        <w:t xml:space="preserve"> </w:t>
      </w:r>
      <w:r>
        <w:t xml:space="preserve">5.</w:t>
      </w:r>
      <w:r>
        <w:t xml:space="preserve"> </w:t>
      </w:r>
      <w:r>
        <w:rPr>
          <w:b/>
          <w:bCs/>
        </w:rPr>
        <w:t xml:space="preserve">10 aprile 2024</w:t>
      </w:r>
      <w:r>
        <w:t xml:space="preserve">: Violazione del divieto → nuova denuncia</w:t>
      </w:r>
      <w:r>
        <w:t xml:space="preserve"> </w:t>
      </w:r>
      <w:r>
        <w:t xml:space="preserve">6.</w:t>
      </w:r>
      <w:r>
        <w:t xml:space="preserve"> </w:t>
      </w:r>
      <w:r>
        <w:rPr>
          <w:b/>
          <w:bCs/>
        </w:rPr>
        <w:t xml:space="preserve">15 aprile 2024</w:t>
      </w:r>
      <w:r>
        <w:t xml:space="preserve">: Arresto dell’autore</w:t>
      </w:r>
      <w:r>
        <w:t xml:space="preserve"> </w:t>
      </w:r>
      <w:r>
        <w:t xml:space="preserve">7.</w:t>
      </w:r>
      <w:r>
        <w:t xml:space="preserve"> </w:t>
      </w:r>
      <w:r>
        <w:rPr>
          <w:b/>
          <w:bCs/>
        </w:rPr>
        <w:t xml:space="preserve">15 settembre 2024</w:t>
      </w:r>
      <w:r>
        <w:t xml:space="preserve">: Sentenza di primo grado (condanna)</w:t>
      </w:r>
      <w:r>
        <w:t xml:space="preserve"> </w:t>
      </w:r>
      <w:r>
        <w:t xml:space="preserve">8.</w:t>
      </w:r>
      <w:r>
        <w:t xml:space="preserve"> </w:t>
      </w:r>
      <w:r>
        <w:rPr>
          <w:b/>
          <w:bCs/>
        </w:rPr>
        <w:t xml:space="preserve">20 gennaio 2025</w:t>
      </w:r>
      <w:r>
        <w:t xml:space="preserve">: Sentenza di appello (conferma condanna)</w:t>
      </w:r>
    </w:p>
    <w:p>
      <w:pPr>
        <w:pStyle w:val="BodyText"/>
      </w:pPr>
      <w:r>
        <w:t xml:space="preserve">Questo è</w:t>
      </w:r>
      <w:r>
        <w:t xml:space="preserve"> </w:t>
      </w:r>
      <w:r>
        <w:rPr>
          <w:b/>
          <w:bCs/>
        </w:rPr>
        <w:t xml:space="preserve">1 vittima</w:t>
      </w:r>
      <w:r>
        <w:t xml:space="preserve">, ma</w:t>
      </w:r>
      <w:r>
        <w:t xml:space="preserve"> </w:t>
      </w:r>
      <w:r>
        <w:rPr>
          <w:b/>
          <w:bCs/>
        </w:rPr>
        <w:t xml:space="preserve">8 eventi procedurali</w:t>
      </w:r>
      <w:r>
        <w:t xml:space="preserve"> </w:t>
      </w:r>
      <w:r>
        <w:t xml:space="preserve">che devono essere tracciati in sequenza temporale per comprendere l’efficacia delle misure di protezione e l’esito finale del procedimento.</w:t>
      </w:r>
    </w:p>
    <w:bookmarkEnd w:id="43"/>
    <w:bookmarkStart w:id="44" w:name="X1589dae9bc621af7418b637cddf0cac05f472a4"/>
    <w:p>
      <w:pPr>
        <w:pStyle w:val="Heading4"/>
      </w:pPr>
      <w:r>
        <w:t xml:space="preserve">Soluzione: schema unificato con eventi procedurali</w:t>
      </w:r>
    </w:p>
    <w:p>
      <w:pPr>
        <w:pStyle w:val="FirstParagraph"/>
      </w:pPr>
      <w:r>
        <w:t xml:space="preserve">Per semplicità, proponiamo una</w:t>
      </w:r>
      <w:r>
        <w:t xml:space="preserve"> </w:t>
      </w:r>
      <w:r>
        <w:rPr>
          <w:b/>
          <w:bCs/>
        </w:rPr>
        <w:t xml:space="preserve">singola tabella</w:t>
      </w:r>
      <w:r>
        <w:t xml:space="preserve"> </w:t>
      </w:r>
      <w:r>
        <w:t xml:space="preserve">dove ogni riga rappresenta un</w:t>
      </w:r>
      <w:r>
        <w:t xml:space="preserve"> </w:t>
      </w:r>
      <w:r>
        <w:rPr>
          <w:b/>
          <w:bCs/>
        </w:rPr>
        <w:t xml:space="preserve">evento procedurale</w:t>
      </w:r>
      <w:r>
        <w:t xml:space="preserve"> </w:t>
      </w:r>
      <w:r>
        <w:t xml:space="preserve">nel percorso della vittima. L’identificativo anonimizzato della vittima permette di collegare tutti gli eventi della stessa persona.</w:t>
      </w:r>
    </w:p>
    <w:p>
      <w:pPr>
        <w:pStyle w:val="TableCaption"/>
      </w:pPr>
      <w:r>
        <w:t xml:space="preserve">Schema del dataset Sistema Interministeriale di Raccolta Dati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Schema del dataset Sistema Interministeriale di Raccolta Dati"/>
      </w:tblPr>
      <w:tblGrid>
        <w:gridCol w:w="2022"/>
        <w:gridCol w:w="1011"/>
        <w:gridCol w:w="2190"/>
        <w:gridCol w:w="269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 Campo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  <w:tc>
          <w:tcPr/>
          <w:p>
            <w:pPr>
              <w:pStyle w:val="Compact"/>
            </w:pPr>
            <w:r>
              <w:t xml:space="preserve">Valore esempio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id_vittima_anonimizzato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anonimizzato della vittima. Formato:</w:t>
            </w:r>
            <w:r>
              <w:t xml:space="preserve"> </w:t>
            </w:r>
            <w:r>
              <w:rPr>
                <w:rStyle w:val="VerbatimChar"/>
              </w:rPr>
              <w:t xml:space="preserve">VIT-{hash}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VIT-A3F8B2C1</w:t>
            </w:r>
            <w:r>
              <w:t xml:space="preserve">). Stesso ID = stessa persona</w:t>
            </w:r>
          </w:p>
        </w:tc>
        <w:tc>
          <w:tcPr/>
          <w:p>
            <w:pPr>
              <w:pStyle w:val="Compact"/>
            </w:pPr>
            <w:r>
              <w:t xml:space="preserve">“VIT-A3F8B2C1”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id_evento_procedurale</w:t>
            </w:r>
          </w:p>
        </w:tc>
        <w:tc>
          <w:tcPr/>
          <w:p>
            <w:pPr>
              <w:pStyle w:val="Compact"/>
            </w:pPr>
            <w:r>
              <w:t xml:space="preserve">Alfanumerico</w:t>
            </w:r>
          </w:p>
        </w:tc>
        <w:tc>
          <w:tcPr/>
          <w:p>
            <w:pPr>
              <w:pStyle w:val="Compact"/>
            </w:pPr>
            <w:r>
              <w:t xml:space="preserve">Identificativo univoco dell’evento procedurale. Formato:</w:t>
            </w:r>
            <w:r>
              <w:t xml:space="preserve"> </w:t>
            </w:r>
            <w:r>
              <w:rPr>
                <w:rStyle w:val="VerbatimChar"/>
              </w:rPr>
              <w:t xml:space="preserve">EVP-{anno}-{progressivo}</w:t>
            </w:r>
            <w:r>
              <w:t xml:space="preserve"> </w:t>
            </w:r>
            <w:r>
              <w:t xml:space="preserve">(es.</w:t>
            </w:r>
            <w:r>
              <w:t xml:space="preserve"> </w:t>
            </w:r>
            <w:r>
              <w:rPr>
                <w:rStyle w:val="VerbatimChar"/>
              </w:rPr>
              <w:t xml:space="preserve">EVP-2024-001234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“EVP-2024-001234”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tipo_evento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Tipologia di evento procedurale (vedi</w:t>
            </w:r>
            <w:r>
              <w:t xml:space="preserve"> </w:t>
            </w:r>
            <w:hyperlink w:anchor="tipo-evento-procedurale">
              <w:r>
                <w:rPr>
                  <w:rStyle w:val="Hyperlink"/>
                </w:rPr>
                <w:t xml:space="preserve">valori controllati</w:t>
              </w:r>
            </w:hyperlink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“Denuncia”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Reato per cui l’evento procedurale è riferito, secondo lista Art. 5 comma 3 (vedi</w:t>
            </w:r>
            <w:r>
              <w:t xml:space="preserve"> </w:t>
            </w:r>
            <w:hyperlink w:anchor="lista-dei-reati-monitorati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). Obbligatorio per tipo_evento=</w:t>
            </w:r>
            <w:r>
              <w:t xml:space="preserve">“DENUNCIA”</w:t>
            </w:r>
            <w:r>
              <w:t xml:space="preserve">, opzionale per altri eventi</w:t>
            </w:r>
          </w:p>
        </w:tc>
        <w:tc>
          <w:tcPr/>
          <w:p>
            <w:pPr>
              <w:pStyle w:val="Compact"/>
            </w:pPr>
            <w:r>
              <w:t xml:space="preserve">“Maltrattamenti contro familiari e conviventi”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data_evento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Data in cui è avvenuto l’evento. Formato:</w:t>
            </w:r>
            <w:r>
              <w:t xml:space="preserve"> </w:t>
            </w:r>
            <w:r>
              <w:rPr>
                <w:rStyle w:val="VerbatimChar"/>
              </w:rPr>
              <w:t xml:space="preserve">AAAA-MM-GG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autorita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Autorità competente che ha gestito l’evento</w:t>
            </w:r>
          </w:p>
        </w:tc>
        <w:tc>
          <w:tcPr/>
          <w:p>
            <w:pPr>
              <w:pStyle w:val="Compact"/>
            </w:pPr>
            <w:r>
              <w:t xml:space="preserve">“Carabinieri”</w:t>
            </w:r>
            <w:r>
              <w:t xml:space="preserve">,</w:t>
            </w:r>
            <w:r>
              <w:t xml:space="preserve"> </w:t>
            </w:r>
            <w:r>
              <w:t xml:space="preserve">“Procura”</w:t>
            </w:r>
            <w:r>
              <w:t xml:space="preserve">,</w:t>
            </w:r>
            <w:r>
              <w:t xml:space="preserve"> </w:t>
            </w:r>
            <w:r>
              <w:t xml:space="preserve">“Tribunale”</w:t>
            </w:r>
            <w:r>
              <w:t xml:space="preserve">,</w:t>
            </w:r>
            <w:r>
              <w:t xml:space="preserve"> </w:t>
            </w:r>
            <w:r>
              <w:t xml:space="preserve">“Questore”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dettaglio_evento</w:t>
            </w:r>
          </w:p>
        </w:tc>
        <w:tc>
          <w:tcPr/>
          <w:p>
            <w:pPr>
              <w:pStyle w:val="Compact"/>
            </w:pPr>
            <w:r>
              <w:t xml:space="preserve">Testuale</w:t>
            </w:r>
          </w:p>
        </w:tc>
        <w:tc>
          <w:tcPr/>
          <w:p>
            <w:pPr>
              <w:pStyle w:val="Compact"/>
            </w:pPr>
            <w:r>
              <w:t xml:space="preserve">Dettaglio specifico dell’evento (es. tipo di misura, tipo di sentenza, motivazione archiviazione)</w:t>
            </w:r>
          </w:p>
        </w:tc>
        <w:tc>
          <w:tcPr/>
          <w:p>
            <w:pPr>
              <w:pStyle w:val="Compact"/>
            </w:pPr>
            <w:r>
              <w:t xml:space="preserve">“Divieto di avvicinamento ex art. 282-ter cpp”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esito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Esito dell’evento (se applicabile):</w:t>
            </w:r>
            <w:r>
              <w:t xml:space="preserve"> </w:t>
            </w:r>
            <w:r>
              <w:t xml:space="preserve">“Applicata”</w:t>
            </w:r>
            <w:r>
              <w:t xml:space="preserve">,</w:t>
            </w:r>
            <w:r>
              <w:t xml:space="preserve"> </w:t>
            </w:r>
            <w:r>
              <w:t xml:space="preserve">“Respinta”</w:t>
            </w:r>
            <w:r>
              <w:t xml:space="preserve">,</w:t>
            </w:r>
            <w:r>
              <w:t xml:space="preserve"> </w:t>
            </w:r>
            <w:r>
              <w:t xml:space="preserve">“Violata”</w:t>
            </w:r>
            <w:r>
              <w:t xml:space="preserve">,</w:t>
            </w:r>
            <w:r>
              <w:t xml:space="preserve"> </w:t>
            </w:r>
            <w:r>
              <w:t xml:space="preserve">“Condanna”</w:t>
            </w:r>
            <w:r>
              <w:t xml:space="preserve">,</w:t>
            </w:r>
            <w:r>
              <w:t xml:space="preserve"> </w:t>
            </w:r>
            <w:r>
              <w:t xml:space="preserve">“Assoluzione”</w:t>
            </w:r>
            <w:r>
              <w:t xml:space="preserve">,</w:t>
            </w:r>
            <w:r>
              <w:t xml:space="preserve"> </w:t>
            </w:r>
            <w:r>
              <w:t xml:space="preserve">“Archiviazione”</w:t>
            </w:r>
          </w:p>
        </w:tc>
        <w:tc>
          <w:tcPr/>
          <w:p>
            <w:pPr>
              <w:pStyle w:val="Compact"/>
            </w:pPr>
            <w:r>
              <w:t xml:space="preserve">“Applicata”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eta_vittima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della vittima al momento della prima denuncia (se nota)</w:t>
            </w:r>
          </w:p>
        </w:tc>
        <w:tc>
          <w:tcPr/>
          <w:p>
            <w:pPr>
              <w:pStyle w:val="Compact"/>
            </w:pPr>
            <w:r>
              <w:t xml:space="preserve">32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della vittima: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  <w:tc>
          <w:tcPr/>
          <w:p>
            <w:pPr>
              <w:pStyle w:val="Compact"/>
            </w:pPr>
            <w:r>
              <w:t xml:space="preserve">“F”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relazione_autore_vittima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Relazione tra autore e vittima al momento della prima denuncia (vedi</w:t>
            </w:r>
            <w:r>
              <w:t xml:space="preserve"> </w:t>
            </w:r>
            <w:hyperlink w:anchor="relazione-autore-vittima">
              <w:r>
                <w:rPr>
                  <w:rStyle w:val="Hyperlink"/>
                </w:rPr>
                <w:t xml:space="preserve">tabella</w:t>
              </w:r>
            </w:hyperlink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“Ex coniuge/ex convivente”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eta_autore</w:t>
            </w:r>
          </w:p>
        </w:tc>
        <w:tc>
          <w:tcPr/>
          <w:p>
            <w:pPr>
              <w:pStyle w:val="Compact"/>
            </w:pPr>
            <w:r>
              <w:t xml:space="preserve">Numerico</w:t>
            </w:r>
          </w:p>
        </w:tc>
        <w:tc>
          <w:tcPr/>
          <w:p>
            <w:pPr>
              <w:pStyle w:val="Compact"/>
            </w:pPr>
            <w:r>
              <w:t xml:space="preserve">Età dell’autore al momento della prima denuncia (se nota)</w:t>
            </w:r>
          </w:p>
        </w:tc>
        <w:tc>
          <w:tcPr/>
          <w:p>
            <w:pPr>
              <w:pStyle w:val="Compact"/>
            </w:pPr>
            <w:r>
              <w:t xml:space="preserve">38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genere_autore</w:t>
            </w:r>
          </w:p>
        </w:tc>
        <w:tc>
          <w:tcPr/>
          <w:p>
            <w:pPr>
              <w:pStyle w:val="Compact"/>
            </w:pPr>
            <w:r>
              <w:t xml:space="preserve">Enumerativo</w:t>
            </w:r>
          </w:p>
        </w:tc>
        <w:tc>
          <w:tcPr/>
          <w:p>
            <w:pPr>
              <w:pStyle w:val="Compact"/>
            </w:pPr>
            <w:r>
              <w:t xml:space="preserve">Genere dell’autore:</w:t>
            </w:r>
            <w:r>
              <w:t xml:space="preserve"> </w:t>
            </w:r>
            <w:r>
              <w:t xml:space="preserve">“M”</w:t>
            </w:r>
            <w:r>
              <w:t xml:space="preserve">,</w:t>
            </w:r>
            <w:r>
              <w:t xml:space="preserve"> </w:t>
            </w:r>
            <w:r>
              <w:t xml:space="preserve">“F”</w:t>
            </w:r>
            <w:r>
              <w:t xml:space="preserve">,</w:t>
            </w:r>
            <w:r>
              <w:t xml:space="preserve"> </w:t>
            </w:r>
            <w:r>
              <w:t xml:space="preserve">“Altro”</w:t>
            </w:r>
            <w:r>
              <w:t xml:space="preserve">,</w:t>
            </w:r>
            <w:r>
              <w:t xml:space="preserve"> </w:t>
            </w:r>
            <w:r>
              <w:t xml:space="preserve">“Non specificato”</w:t>
            </w:r>
          </w:p>
        </w:tc>
        <w:tc>
          <w:tcPr/>
          <w:p>
            <w:pPr>
              <w:pStyle w:val="Compact"/>
            </w:pPr>
            <w:r>
              <w:t xml:space="preserve">“M”</w:t>
            </w:r>
          </w:p>
        </w:tc>
      </w:tr>
    </w:tbl>
    <w:bookmarkEnd w:id="44"/>
    <w:bookmarkStart w:id="45" w:name="esempio-pratico-lettura-dei-dati"/>
    <w:p>
      <w:pPr>
        <w:pStyle w:val="Heading4"/>
      </w:pPr>
      <w:r>
        <w:t xml:space="preserve">Esempio pratico: lettura dei dati</w:t>
      </w:r>
    </w:p>
    <w:p>
      <w:pPr>
        <w:pStyle w:val="FirstParagraph"/>
      </w:pPr>
      <w:r>
        <w:t xml:space="preserve">Riprendendo l’esempio del percorso descritto sopra, il dataset conterrebbe</w:t>
      </w:r>
      <w:r>
        <w:t xml:space="preserve"> </w:t>
      </w:r>
      <w:r>
        <w:rPr>
          <w:b/>
          <w:bCs/>
        </w:rPr>
        <w:t xml:space="preserve">8 righe</w:t>
      </w:r>
      <w:r>
        <w:t xml:space="preserve"> </w:t>
      </w:r>
      <w:r>
        <w:t xml:space="preserve">con lo</w:t>
      </w:r>
      <w:r>
        <w:t xml:space="preserve"> </w:t>
      </w:r>
      <w:r>
        <w:rPr>
          <w:b/>
          <w:bCs/>
        </w:rPr>
        <w:t xml:space="preserve">stesso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id_vittima_anonimizzato</w:t>
      </w:r>
      <w:r>
        <w:t xml:space="preserve">:</w:t>
      </w:r>
    </w:p>
    <w:p>
      <w:pPr>
        <w:pStyle w:val="TableCaption"/>
      </w:pPr>
      <w:r>
        <w:t xml:space="preserve">Esempio di percorso procedurale completo di una vittima dal momento della denuncia fino alla sentenza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Esempio di percorso procedurale completo di una vittima dal momento della denuncia fino alla sentenza"/>
      </w:tblPr>
      <w:tblGrid>
        <w:gridCol w:w="1105"/>
        <w:gridCol w:w="1013"/>
        <w:gridCol w:w="1197"/>
        <w:gridCol w:w="1105"/>
        <w:gridCol w:w="1197"/>
        <w:gridCol w:w="1657"/>
        <w:gridCol w:w="64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id_vittima</w:t>
            </w:r>
          </w:p>
        </w:tc>
        <w:tc>
          <w:tcPr/>
          <w:p>
            <w:pPr>
              <w:pStyle w:val="Compact"/>
            </w:pPr>
            <w:r>
              <w:t xml:space="preserve">id_evento</w:t>
            </w:r>
          </w:p>
        </w:tc>
        <w:tc>
          <w:tcPr/>
          <w:p>
            <w:pPr>
              <w:pStyle w:val="Compact"/>
            </w:pPr>
            <w:r>
              <w:t xml:space="preserve">tipo_evento</w:t>
            </w:r>
          </w:p>
        </w:tc>
        <w:tc>
          <w:tcPr/>
          <w:p>
            <w:pPr>
              <w:pStyle w:val="Compact"/>
            </w:pPr>
            <w:r>
              <w:t xml:space="preserve">tipo_reato</w:t>
            </w:r>
          </w:p>
        </w:tc>
        <w:tc>
          <w:tcPr/>
          <w:p>
            <w:pPr>
              <w:pStyle w:val="Compact"/>
            </w:pPr>
            <w:r>
              <w:t xml:space="preserve">data_evento</w:t>
            </w:r>
          </w:p>
        </w:tc>
        <w:tc>
          <w:tcPr/>
          <w:p>
            <w:pPr>
              <w:pStyle w:val="Compact"/>
            </w:pPr>
            <w:r>
              <w:t xml:space="preserve">dettaglio_evento</w:t>
            </w:r>
          </w:p>
        </w:tc>
        <w:tc>
          <w:tcPr/>
          <w:p>
            <w:pPr>
              <w:pStyle w:val="Compact"/>
            </w:pPr>
            <w:r>
              <w:t xml:space="preserve">esito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EVP-2024-001234</w:t>
            </w:r>
          </w:p>
        </w:tc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  <w:tc>
          <w:tcPr/>
          <w:p>
            <w:pPr>
              <w:pStyle w:val="Compact"/>
            </w:pPr>
            <w:r>
              <w:t xml:space="preserve">Prima denuncia</w:t>
            </w:r>
          </w:p>
        </w:tc>
        <w:tc>
          <w:tcPr/>
          <w:p>
            <w:pPr>
              <w:pStyle w:val="Compact"/>
            </w:pPr>
            <w:r>
              <w:t xml:space="preserve">Presentata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EVP-2024-001235</w:t>
            </w:r>
          </w:p>
        </w:tc>
        <w:tc>
          <w:tcPr/>
          <w:p>
            <w:pPr>
              <w:pStyle w:val="Compact"/>
            </w:pPr>
            <w:r>
              <w:t xml:space="preserve">Misura precautelare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2024-03-15</w:t>
            </w:r>
          </w:p>
        </w:tc>
        <w:tc>
          <w:tcPr/>
          <w:p>
            <w:pPr>
              <w:pStyle w:val="Compact"/>
            </w:pPr>
            <w:r>
              <w:t xml:space="preserve">Allontanamento d’urgenza ex art. 384-bis cpp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EVP-2024-001236</w:t>
            </w:r>
          </w:p>
        </w:tc>
        <w:tc>
          <w:tcPr/>
          <w:p>
            <w:pPr>
              <w:pStyle w:val="Compact"/>
            </w:pPr>
            <w:r>
              <w:t xml:space="preserve">Misura di prevenzione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2024-03-20</w:t>
            </w:r>
          </w:p>
        </w:tc>
        <w:tc>
          <w:tcPr/>
          <w:p>
            <w:pPr>
              <w:pStyle w:val="Compact"/>
            </w:pPr>
            <w:r>
              <w:t xml:space="preserve">Ammonimento Questore ex art. 8 DL 11/2009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EVP-2024-001237</w:t>
            </w:r>
          </w:p>
        </w:tc>
        <w:tc>
          <w:tcPr/>
          <w:p>
            <w:pPr>
              <w:pStyle w:val="Compact"/>
            </w:pPr>
            <w:r>
              <w:t xml:space="preserve">Misura cautelare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2024-03-25</w:t>
            </w:r>
          </w:p>
        </w:tc>
        <w:tc>
          <w:tcPr/>
          <w:p>
            <w:pPr>
              <w:pStyle w:val="Compact"/>
            </w:pPr>
            <w:r>
              <w:t xml:space="preserve">Divieto di avvicinamento ex art. 282-ter cpp</w:t>
            </w:r>
          </w:p>
        </w:tc>
        <w:tc>
          <w:tcPr/>
          <w:p>
            <w:pPr>
              <w:pStyle w:val="Compact"/>
            </w:pPr>
            <w:r>
              <w:t xml:space="preserve">Applicata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EVP-2024-001238</w:t>
            </w:r>
          </w:p>
        </w:tc>
        <w:tc>
          <w:tcPr/>
          <w:p>
            <w:pPr>
              <w:pStyle w:val="Compact"/>
            </w:pPr>
            <w:r>
              <w:t xml:space="preserve">Violazione misura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2024-04-10</w:t>
            </w:r>
          </w:p>
        </w:tc>
        <w:tc>
          <w:tcPr/>
          <w:p>
            <w:pPr>
              <w:pStyle w:val="Compact"/>
            </w:pPr>
            <w:r>
              <w:t xml:space="preserve">Violazione divieto di avvicinamento</w:t>
            </w:r>
          </w:p>
        </w:tc>
        <w:tc>
          <w:tcPr/>
          <w:p>
            <w:pPr>
              <w:pStyle w:val="Compact"/>
            </w:pPr>
            <w:r>
              <w:t xml:space="preserve">Accertata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EVP-2024-001239</w:t>
            </w:r>
          </w:p>
        </w:tc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2024-04-15</w:t>
            </w:r>
          </w:p>
        </w:tc>
        <w:tc>
          <w:tcPr/>
          <w:p>
            <w:pPr>
              <w:pStyle w:val="Compact"/>
            </w:pPr>
            <w:r>
              <w:t xml:space="preserve">Arresto per violazione misura cautelare</w:t>
            </w:r>
          </w:p>
        </w:tc>
        <w:tc>
          <w:tcPr/>
          <w:p>
            <w:pPr>
              <w:pStyle w:val="Compact"/>
            </w:pPr>
            <w:r>
              <w:t xml:space="preserve">Eseguito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EVP-2024-001240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2024-09-15</w:t>
            </w:r>
          </w:p>
        </w:tc>
        <w:tc>
          <w:tcPr/>
          <w:p>
            <w:pPr>
              <w:pStyle w:val="Compact"/>
            </w:pPr>
            <w:r>
              <w:t xml:space="preserve">Primo grado - Condanna 3 anni e 6 mesi</w:t>
            </w:r>
          </w:p>
        </w:tc>
        <w:tc>
          <w:tcPr/>
          <w:p>
            <w:pPr>
              <w:pStyle w:val="Compact"/>
            </w:pPr>
            <w:r>
              <w:t xml:space="preserve">Condanna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VIT-A3F8B2C1</w:t>
            </w:r>
          </w:p>
        </w:tc>
        <w:tc>
          <w:tcPr/>
          <w:p>
            <w:pPr>
              <w:pStyle w:val="Compact"/>
            </w:pPr>
            <w:r>
              <w:t xml:space="preserve">EVP-2024-001241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2025-01-20</w:t>
            </w:r>
          </w:p>
        </w:tc>
        <w:tc>
          <w:tcPr/>
          <w:p>
            <w:pPr>
              <w:pStyle w:val="Compact"/>
            </w:pPr>
            <w:r>
              <w:t xml:space="preserve">Appello - Conferma condanna</w:t>
            </w:r>
          </w:p>
        </w:tc>
        <w:tc>
          <w:tcPr/>
          <w:p>
            <w:pPr>
              <w:pStyle w:val="Compact"/>
            </w:pPr>
            <w:r>
              <w:t xml:space="preserve">Condanna</w:t>
            </w:r>
          </w:p>
        </w:tc>
      </w:tr>
    </w:tbl>
    <w:p>
      <w:pPr>
        <w:pStyle w:val="BodyText"/>
      </w:pPr>
      <w:r>
        <w:rPr>
          <w:b/>
          <w:bCs/>
        </w:rPr>
        <w:t xml:space="preserve">Come leggere i dati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id_vittima_anonimizzato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stessa persona</w:t>
      </w:r>
      <w:r>
        <w:t xml:space="preserve"> </w:t>
      </w:r>
      <w:r>
        <w:t xml:space="preserve">vittima</w:t>
      </w:r>
    </w:p>
    <w:p>
      <w:pPr>
        <w:pStyle w:val="Compact"/>
        <w:numPr>
          <w:ilvl w:val="0"/>
          <w:numId w:val="1009"/>
        </w:numPr>
      </w:pPr>
      <w:r>
        <w:t xml:space="preserve">Stesso</w:t>
      </w:r>
      <w:r>
        <w:t xml:space="preserve"> </w:t>
      </w:r>
      <w:r>
        <w:rPr>
          <w:rStyle w:val="VerbatimChar"/>
        </w:rPr>
        <w:t xml:space="preserve">tipo_reato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stesso procedimento penale</w:t>
      </w:r>
      <w:r>
        <w:t xml:space="preserve"> </w:t>
      </w:r>
      <w:r>
        <w:t xml:space="preserve">(in questo caso, maltrattamenti)</w:t>
      </w:r>
    </w:p>
    <w:p>
      <w:pPr>
        <w:pStyle w:val="Compact"/>
        <w:numPr>
          <w:ilvl w:val="0"/>
          <w:numId w:val="1009"/>
        </w:numPr>
      </w:pPr>
      <w:r>
        <w:t xml:space="preserve">Ogni riga =</w:t>
      </w:r>
      <w:r>
        <w:t xml:space="preserve"> </w:t>
      </w:r>
      <w:r>
        <w:rPr>
          <w:b/>
          <w:bCs/>
        </w:rPr>
        <w:t xml:space="preserve">un evento</w:t>
      </w:r>
      <w:r>
        <w:t xml:space="preserve"> </w:t>
      </w:r>
      <w:r>
        <w:t xml:space="preserve">nel percorso giudiziario</w:t>
      </w:r>
    </w:p>
    <w:p>
      <w:pPr>
        <w:pStyle w:val="Compact"/>
        <w:numPr>
          <w:ilvl w:val="0"/>
          <w:numId w:val="1009"/>
        </w:numPr>
      </w:pPr>
      <w:r>
        <w:t xml:space="preserve">L’ordine cronologico (campo</w:t>
      </w:r>
      <w:r>
        <w:t xml:space="preserve"> </w:t>
      </w:r>
      <w:r>
        <w:rPr>
          <w:rStyle w:val="VerbatimChar"/>
        </w:rPr>
        <w:t xml:space="preserve">data_evento</w:t>
      </w:r>
      <w:r>
        <w:t xml:space="preserve">) permette di ricostruire la</w:t>
      </w:r>
      <w:r>
        <w:t xml:space="preserve"> </w:t>
      </w:r>
      <w:r>
        <w:rPr>
          <w:b/>
          <w:bCs/>
        </w:rPr>
        <w:t xml:space="preserve">timeline</w:t>
      </w:r>
      <w:r>
        <w:t xml:space="preserve"> </w:t>
      </w:r>
      <w:r>
        <w:t xml:space="preserve">completa</w:t>
      </w:r>
    </w:p>
    <w:p>
      <w:pPr>
        <w:pStyle w:val="Compact"/>
        <w:numPr>
          <w:ilvl w:val="0"/>
          <w:numId w:val="1009"/>
        </w:numPr>
      </w:pPr>
      <w:r>
        <w:t xml:space="preserve">È possibile analizzare: tempi tra denuncia e misure, efficacia delle misure per tipo di reato, tasso di violazioni, esiti finali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Se la stessa vittima denuncia reati diversi in momenti diversi (es. prima maltrattamenti, poi violenza sessuale), nel dataset ci saranno due percorsi procedurali distinti identificabili dal campo</w:t>
      </w:r>
      <w:r>
        <w:t xml:space="preserve"> </w:t>
      </w:r>
      <w:r>
        <w:rPr>
          <w:rStyle w:val="VerbatimChar"/>
        </w:rPr>
        <w:t xml:space="preserve">tipo_reato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5"/>
    <w:bookmarkEnd w:id="46"/>
    <w:bookmarkEnd w:id="47"/>
    <w:bookmarkStart w:id="51" w:name="X49874747a195fe910f2cb4ccbae75685d83bd7b"/>
    <w:p>
      <w:pPr>
        <w:pStyle w:val="Heading2"/>
      </w:pPr>
      <w:r>
        <w:t xml:space="preserve">Nota: contesto europeo e opportunità per l’Italia</w:t>
      </w:r>
    </w:p>
    <w:p>
      <w:pPr>
        <w:pStyle w:val="FirstParagraph"/>
      </w:pPr>
      <w:r>
        <w:t xml:space="preserve">A rafforzamento della richiesta, è utile evidenziare che la raccolta sistematica di dati sulla violenza di genere non è solo una previsione della normativa italiana, ma un</w:t>
      </w:r>
      <w:r>
        <w:t xml:space="preserve"> </w:t>
      </w:r>
      <w:r>
        <w:rPr>
          <w:b/>
          <w:bCs/>
        </w:rPr>
        <w:t xml:space="preserve">obbligo europeo in arrivo</w:t>
      </w:r>
      <w:r>
        <w:t xml:space="preserve">.</w:t>
      </w:r>
    </w:p>
    <w:p>
      <w:pPr>
        <w:pStyle w:val="BodyText"/>
      </w:pPr>
      <w:r>
        <w:t xml:space="preserve">La</w:t>
      </w:r>
      <w:r>
        <w:t xml:space="preserve"> </w:t>
      </w:r>
      <w:hyperlink r:id="rId48">
        <w:r>
          <w:rPr>
            <w:rStyle w:val="Hyperlink"/>
            <w:b/>
            <w:bCs/>
          </w:rPr>
          <w:t xml:space="preserve">Direttiva UE 2024/1385 del 14 maggio 2024</w:t>
        </w:r>
      </w:hyperlink>
      <w:r>
        <w:t xml:space="preserve"> </w:t>
      </w:r>
      <w:r>
        <w:t xml:space="preserve">sulla lotta alla violenza contro le donne e alla violenza domestica prevede all’</w:t>
      </w:r>
      <w:hyperlink r:id="rId49">
        <w:r>
          <w:rPr>
            <w:rStyle w:val="Hyperlink"/>
            <w:b/>
            <w:bCs/>
          </w:rPr>
          <w:t xml:space="preserve">articolo 44</w:t>
        </w:r>
      </w:hyperlink>
      <w:r>
        <w:t xml:space="preserve"> </w:t>
      </w:r>
      <w:r>
        <w:t xml:space="preserve">che gli Stati membri raccolgano e pubblichino statistiche annuali disaggregate su:</w:t>
      </w:r>
    </w:p>
    <w:p>
      <w:pPr>
        <w:pStyle w:val="Compact"/>
        <w:numPr>
          <w:ilvl w:val="0"/>
          <w:numId w:val="1010"/>
        </w:numPr>
      </w:pPr>
      <w:r>
        <w:t xml:space="preserve">Numero di reati denunciati e condanne (par. 2, lett. a)</w:t>
      </w:r>
    </w:p>
    <w:p>
      <w:pPr>
        <w:pStyle w:val="Compact"/>
        <w:numPr>
          <w:ilvl w:val="0"/>
          <w:numId w:val="1010"/>
        </w:numPr>
      </w:pPr>
      <w:r>
        <w:t xml:space="preserve">Numero di donne uccise in contesto di violenza di genere (par. 2, lett. b)</w:t>
      </w:r>
    </w:p>
    <w:p>
      <w:pPr>
        <w:pStyle w:val="Compact"/>
        <w:numPr>
          <w:ilvl w:val="0"/>
          <w:numId w:val="1010"/>
        </w:numPr>
      </w:pPr>
      <w:r>
        <w:t xml:space="preserve">Numero e capacità delle case rifugio (par. 2, lett. c)</w:t>
      </w:r>
    </w:p>
    <w:p>
      <w:pPr>
        <w:pStyle w:val="Compact"/>
        <w:numPr>
          <w:ilvl w:val="0"/>
          <w:numId w:val="1010"/>
        </w:numPr>
      </w:pPr>
      <w:r>
        <w:t xml:space="preserve">Numero di chiamate alle linee di assistenza (par. 2, lett. d)</w:t>
      </w:r>
    </w:p>
    <w:p>
      <w:pPr>
        <w:pStyle w:val="FirstParagraph"/>
      </w:pPr>
      <w:r>
        <w:t xml:space="preserve">Il</w:t>
      </w:r>
      <w:r>
        <w:t xml:space="preserve"> </w:t>
      </w:r>
      <w:r>
        <w:rPr>
          <w:b/>
          <w:bCs/>
        </w:rPr>
        <w:t xml:space="preserve">termine di recepimento della direttiva è il 14 giugno 2027</w:t>
      </w:r>
      <w:r>
        <w:t xml:space="preserve"> </w:t>
      </w:r>
      <w:r>
        <w:t xml:space="preserve">(</w:t>
      </w:r>
      <w:hyperlink r:id="rId50">
        <w:r>
          <w:rPr>
            <w:rStyle w:val="Hyperlink"/>
          </w:rPr>
          <w:t xml:space="preserve">articolo 49</w:t>
        </w:r>
      </w:hyperlink>
      <w:r>
        <w:t xml:space="preserve">).</w:t>
      </w:r>
    </w:p>
    <w:p>
      <w:pPr>
        <w:pStyle w:val="BodyText"/>
      </w:pPr>
      <w:r>
        <w:rPr>
          <w:b/>
          <w:bCs/>
        </w:rPr>
        <w:t xml:space="preserve">L’Italia ha già anticipato questo quadro normativo</w:t>
      </w:r>
      <w:r>
        <w:t xml:space="preserve"> </w:t>
      </w:r>
      <w:r>
        <w:t xml:space="preserve">con la Legge 53/2022, che in alcuni aspetti è</w:t>
      </w:r>
      <w:r>
        <w:t xml:space="preserve"> </w:t>
      </w:r>
      <w:r>
        <w:rPr>
          <w:b/>
          <w:bCs/>
        </w:rPr>
        <w:t xml:space="preserve">più dettagliata</w:t>
      </w:r>
      <w:r>
        <w:t xml:space="preserve"> </w:t>
      </w:r>
      <w:r>
        <w:t xml:space="preserve">rispetto ai requisiti minimi europei (27 reati specifici anziché categorie generiche, 15 modalità di relazione autore-vittima, età puntuale anziché fasce).</w:t>
      </w:r>
    </w:p>
    <w:p>
      <w:pPr>
        <w:pStyle w:val="BodyText"/>
      </w:pPr>
      <w:r>
        <w:t xml:space="preserve">Pubblicare ora i dati previsti dalla L. 53/2022 significherebbe: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Dare piena attuazione</w:t>
      </w:r>
      <w:r>
        <w:t xml:space="preserve"> </w:t>
      </w:r>
      <w:r>
        <w:t xml:space="preserve">a una norma nazionale già vigente dal 2022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Anticipare virtuosamente</w:t>
      </w:r>
      <w:r>
        <w:t xml:space="preserve"> </w:t>
      </w:r>
      <w:r>
        <w:t xml:space="preserve">l’obbligo europeo del 2027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Dimostrare leadership</w:t>
      </w:r>
      <w:r>
        <w:t xml:space="preserve"> </w:t>
      </w:r>
      <w:r>
        <w:t xml:space="preserve">dell’Italia su un tema di rilevanza europea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Fornire evidenze empiriche</w:t>
      </w:r>
      <w:r>
        <w:t xml:space="preserve"> </w:t>
      </w:r>
      <w:r>
        <w:t xml:space="preserve">per politiche pubbliche più efficaci</w:t>
      </w:r>
    </w:p>
    <w:p>
      <w:pPr>
        <w:pStyle w:val="FirstParagraph"/>
      </w:pPr>
      <w:r>
        <w:t xml:space="preserve">In questo senso, la pubblicazione dei dati non è solo un atto di trasparenza, ma un</w:t>
      </w:r>
      <w:r>
        <w:t xml:space="preserve"> </w:t>
      </w:r>
      <w:r>
        <w:rPr>
          <w:b/>
          <w:bCs/>
        </w:rPr>
        <w:t xml:space="preserve">investimento strategico</w:t>
      </w:r>
      <w:r>
        <w:t xml:space="preserve"> </w:t>
      </w:r>
      <w:r>
        <w:t xml:space="preserve">in vista degli obblighi europei imminenti.</w:t>
      </w:r>
    </w:p>
    <w:p>
      <w:r>
        <w:pict>
          <v:rect style="width:0;height:1.5pt" o:hralign="center" o:hrstd="t" o:hr="t"/>
        </w:pict>
      </w:r>
    </w:p>
    <w:bookmarkEnd w:id="51"/>
    <w:bookmarkStart w:id="64" w:name="valori-controllati"/>
    <w:p>
      <w:pPr>
        <w:pStyle w:val="Heading2"/>
      </w:pPr>
      <w:r>
        <w:t xml:space="preserve">Valori Controllati</w:t>
      </w:r>
    </w:p>
    <w:bookmarkStart w:id="52" w:name="relazione-autore-vittima"/>
    <w:p>
      <w:pPr>
        <w:pStyle w:val="Heading3"/>
      </w:pPr>
      <w:r>
        <w:t xml:space="preserve">Relazione Autore-Vittima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39">
        <w:r>
          <w:rPr>
            <w:rStyle w:val="Hyperlink"/>
          </w:rPr>
          <w:t xml:space="preserve">Articolo 2, comma 2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Questo è il set minimo di modalità che devono essere previste nelle rilevazioni:</w:t>
      </w:r>
    </w:p>
    <w:p>
      <w:pPr>
        <w:pStyle w:val="TableCaption"/>
      </w:pPr>
      <w:r>
        <w:t xml:space="preserve">Valori controllati per la relazione autore-vittima (Art. 2, comma 2, L. 53/2022)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Valori controllati per la relazione autore-vittima (Art. 2, comma 2, L. 53/2022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Coniuge/convivente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Fidanzato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Ex coniuge/ex convivente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Ex fidanzato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Altro parente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Collega/datore di lavoro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Conoscente/amico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Cliente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Vicino di casa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Compagno di scuola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Insegnante o persona che esercita un’attività di cura e/o custodia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Medico o operatore sanitario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Persona sconosciuta alla 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Altro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Autore non identificato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2"/>
    <w:bookmarkStart w:id="54" w:name="tipologia-di-violenza"/>
    <w:p>
      <w:pPr>
        <w:pStyle w:val="Heading3"/>
      </w:pPr>
      <w:r>
        <w:t xml:space="preserve">Tipologia di Violenza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39">
        <w:r>
          <w:rPr>
            <w:rStyle w:val="Hyperlink"/>
          </w:rPr>
          <w:t xml:space="preserve">Articolo 2, comma 1</w:t>
        </w:r>
      </w:hyperlink>
      <w:r>
        <w:t xml:space="preserve"> </w:t>
      </w:r>
      <w:r>
        <w:t xml:space="preserve">e</w:t>
      </w:r>
      <w:r>
        <w:t xml:space="preserve"> </w:t>
      </w:r>
      <w:hyperlink r:id="rId53">
        <w:r>
          <w:rPr>
            <w:rStyle w:val="Hyperlink"/>
          </w:rPr>
          <w:t xml:space="preserve">Articolo 4, comma 2, lettera a)</w:t>
        </w:r>
      </w:hyperlink>
    </w:p>
    <w:p>
      <w:pPr>
        <w:pStyle w:val="TableCaption"/>
      </w:pPr>
      <w:r>
        <w:t xml:space="preserve">Tipologie di violenza previste dalla normativa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Tipologie di violenza previste dalla normativa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FIS</w:t>
            </w:r>
          </w:p>
        </w:tc>
        <w:tc>
          <w:tcPr/>
          <w:p>
            <w:pPr>
              <w:pStyle w:val="Compact"/>
            </w:pPr>
            <w:r>
              <w:t xml:space="preserve">Violenza fisica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SES</w:t>
            </w:r>
          </w:p>
        </w:tc>
        <w:tc>
          <w:tcPr/>
          <w:p>
            <w:pPr>
              <w:pStyle w:val="Compact"/>
            </w:pPr>
            <w:r>
              <w:t xml:space="preserve">Violenza sessuale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PSI</w:t>
            </w:r>
          </w:p>
        </w:tc>
        <w:tc>
          <w:tcPr/>
          <w:p>
            <w:pPr>
              <w:pStyle w:val="Compact"/>
            </w:pPr>
            <w:r>
              <w:t xml:space="preserve">Violenza psicologica</w:t>
            </w:r>
          </w:p>
        </w:tc>
      </w:tr>
      <w:tr>
        <w:tc>
          <w:tcPr/>
          <w:p>
            <w:pPr>
              <w:pStyle w:val="Compact"/>
            </w:pPr>
            <w:r>
              <w:t xml:space="preserve">ECO</w:t>
            </w:r>
          </w:p>
        </w:tc>
        <w:tc>
          <w:tcPr/>
          <w:p>
            <w:pPr>
              <w:pStyle w:val="Compact"/>
            </w:pPr>
            <w:r>
              <w:t xml:space="preserve">Violenza economica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4"/>
    <w:bookmarkStart w:id="58" w:name="lista-dei-reati-monitorati"/>
    <w:p>
      <w:pPr>
        <w:pStyle w:val="Heading3"/>
      </w:pPr>
      <w:r>
        <w:t xml:space="preserve">Lista dei Reati Monitorati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comma 3</w:t>
        </w:r>
      </w:hyperlink>
      <w:r>
        <w:t xml:space="preserve"> </w:t>
      </w:r>
      <w:r>
        <w:t xml:space="preserve">della Legge 53/2022</w:t>
      </w:r>
    </w:p>
    <w:p>
      <w:pPr>
        <w:pStyle w:val="TableCaption"/>
      </w:pPr>
      <w:r>
        <w:t xml:space="preserve">Lista completa dei 27 reati monitorati (Art. 5, comma 3, L. 53/2022)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Lista completa dei 27 reati monitorati (Art. 5, comma 3, L. 53/2022)"/>
      </w:tblPr>
      <w:tblGrid>
        <w:gridCol w:w="1712"/>
        <w:gridCol w:w="1498"/>
        <w:gridCol w:w="470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Reato</w:t>
            </w:r>
          </w:p>
        </w:tc>
        <w:tc>
          <w:tcPr/>
          <w:p>
            <w:pPr>
              <w:pStyle w:val="Compact"/>
            </w:pPr>
            <w:r>
              <w:t xml:space="preserve">Riferimento Normativo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Omicidio (anche tentato)</w:t>
            </w:r>
          </w:p>
        </w:tc>
        <w:tc>
          <w:tcPr/>
          <w:p>
            <w:pPr>
              <w:pStyle w:val="Compact"/>
            </w:pPr>
            <w:r>
              <w:t xml:space="preserve">Art. 575 CP, anche aggravato ex artt. 576 e 577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a-bis</w:t>
            </w:r>
          </w:p>
        </w:tc>
        <w:tc>
          <w:tcPr/>
          <w:p>
            <w:pPr>
              <w:pStyle w:val="Compact"/>
            </w:pPr>
            <w:r>
              <w:t xml:space="preserve">Femminicidio</w:t>
            </w:r>
          </w:p>
        </w:tc>
        <w:tc>
          <w:tcPr/>
          <w:p>
            <w:pPr>
              <w:pStyle w:val="Compact"/>
            </w:pPr>
            <w:r>
              <w:t xml:space="preserve">Art. 577-bis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Percosse</w:t>
            </w:r>
          </w:p>
        </w:tc>
        <w:tc>
          <w:tcPr/>
          <w:p>
            <w:pPr>
              <w:pStyle w:val="Compact"/>
            </w:pPr>
            <w:r>
              <w:t xml:space="preserve">Art. 581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Lesioni personali</w:t>
            </w:r>
          </w:p>
        </w:tc>
        <w:tc>
          <w:tcPr/>
          <w:p>
            <w:pPr>
              <w:pStyle w:val="Compact"/>
            </w:pPr>
            <w:r>
              <w:t xml:space="preserve">Art. 582 CP, anche aggravate ex artt. 583 e 585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</w:t>
            </w:r>
          </w:p>
        </w:tc>
        <w:tc>
          <w:tcPr/>
          <w:p>
            <w:pPr>
              <w:pStyle w:val="Compact"/>
            </w:pPr>
            <w:r>
              <w:t xml:space="preserve">Violenza sessuale</w:t>
            </w:r>
          </w:p>
        </w:tc>
        <w:tc>
          <w:tcPr/>
          <w:p>
            <w:pPr>
              <w:pStyle w:val="Compact"/>
            </w:pPr>
            <w:r>
              <w:t xml:space="preserve">Art. 609-bis CP, anche aggravata ex art. 609-ter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d-bis</w:t>
            </w:r>
          </w:p>
        </w:tc>
        <w:tc>
          <w:tcPr/>
          <w:p>
            <w:pPr>
              <w:pStyle w:val="Compact"/>
            </w:pPr>
            <w:r>
              <w:t xml:space="preserve">Violenza sessuale di gruppo</w:t>
            </w:r>
          </w:p>
        </w:tc>
        <w:tc>
          <w:tcPr/>
          <w:p>
            <w:pPr>
              <w:pStyle w:val="Compact"/>
            </w:pPr>
            <w:r>
              <w:t xml:space="preserve">Art. 609-octies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e</w:t>
            </w:r>
          </w:p>
        </w:tc>
        <w:tc>
          <w:tcPr/>
          <w:p>
            <w:pPr>
              <w:pStyle w:val="Compact"/>
            </w:pPr>
            <w:r>
              <w:t xml:space="preserve">Atti sessuali con minorenne</w:t>
            </w:r>
          </w:p>
        </w:tc>
        <w:tc>
          <w:tcPr/>
          <w:p>
            <w:pPr>
              <w:pStyle w:val="Compact"/>
            </w:pPr>
            <w:r>
              <w:t xml:space="preserve">Art. 609-quater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e-bis</w:t>
            </w:r>
          </w:p>
        </w:tc>
        <w:tc>
          <w:tcPr/>
          <w:p>
            <w:pPr>
              <w:pStyle w:val="Compact"/>
            </w:pPr>
            <w:r>
              <w:t xml:space="preserve">Corruzione di minorenne</w:t>
            </w:r>
          </w:p>
        </w:tc>
        <w:tc>
          <w:tcPr/>
          <w:p>
            <w:pPr>
              <w:pStyle w:val="Compact"/>
            </w:pPr>
            <w:r>
              <w:t xml:space="preserve">Art. 609-quinquies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f</w:t>
            </w:r>
          </w:p>
        </w:tc>
        <w:tc>
          <w:tcPr/>
          <w:p>
            <w:pPr>
              <w:pStyle w:val="Compact"/>
            </w:pPr>
            <w:r>
              <w:t xml:space="preserve">Maltrattamenti contro familiari e conviventi</w:t>
            </w:r>
          </w:p>
        </w:tc>
        <w:tc>
          <w:tcPr/>
          <w:p>
            <w:pPr>
              <w:pStyle w:val="Compact"/>
            </w:pPr>
            <w:r>
              <w:t xml:space="preserve">Art. 572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g</w:t>
            </w:r>
          </w:p>
        </w:tc>
        <w:tc>
          <w:tcPr/>
          <w:p>
            <w:pPr>
              <w:pStyle w:val="Compact"/>
            </w:pPr>
            <w:r>
              <w:t xml:space="preserve">Atti persecutori (stalking)</w:t>
            </w:r>
          </w:p>
        </w:tc>
        <w:tc>
          <w:tcPr/>
          <w:p>
            <w:pPr>
              <w:pStyle w:val="Compact"/>
            </w:pPr>
            <w:r>
              <w:t xml:space="preserve">Art. 612-bis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h</w:t>
            </w:r>
          </w:p>
        </w:tc>
        <w:tc>
          <w:tcPr/>
          <w:p>
            <w:pPr>
              <w:pStyle w:val="Compact"/>
            </w:pPr>
            <w:r>
              <w:t xml:space="preserve">Diffusione illecita di immagini o video sessualmente espliciti (revenge porn)</w:t>
            </w:r>
          </w:p>
        </w:tc>
        <w:tc>
          <w:tcPr/>
          <w:p>
            <w:pPr>
              <w:pStyle w:val="Compact"/>
            </w:pPr>
            <w:r>
              <w:t xml:space="preserve">Art. 612-ter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i</w:t>
            </w:r>
          </w:p>
        </w:tc>
        <w:tc>
          <w:tcPr/>
          <w:p>
            <w:pPr>
              <w:pStyle w:val="Compact"/>
            </w:pPr>
            <w:r>
              <w:t xml:space="preserve">Violazione dei provvedimenti di allontanamento dalla casa familiare e del divieto di avvicinamento</w:t>
            </w:r>
          </w:p>
        </w:tc>
        <w:tc>
          <w:tcPr/>
          <w:p>
            <w:pPr>
              <w:pStyle w:val="Compact"/>
            </w:pPr>
            <w:r>
              <w:t xml:space="preserve">Art. 387-bis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l</w:t>
            </w:r>
          </w:p>
        </w:tc>
        <w:tc>
          <w:tcPr/>
          <w:p>
            <w:pPr>
              <w:pStyle w:val="Compact"/>
            </w:pPr>
            <w:r>
              <w:t xml:space="preserve">Costrizione o induzione al matrimonio</w:t>
            </w:r>
          </w:p>
        </w:tc>
        <w:tc>
          <w:tcPr/>
          <w:p>
            <w:pPr>
              <w:pStyle w:val="Compact"/>
            </w:pPr>
            <w:r>
              <w:t xml:space="preserve">Art. 558-bis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m</w:t>
            </w:r>
          </w:p>
        </w:tc>
        <w:tc>
          <w:tcPr/>
          <w:p>
            <w:pPr>
              <w:pStyle w:val="Compact"/>
            </w:pPr>
            <w:r>
              <w:t xml:space="preserve">Pratiche di mutilazione degli organi genitali femminili</w:t>
            </w:r>
          </w:p>
        </w:tc>
        <w:tc>
          <w:tcPr/>
          <w:p>
            <w:pPr>
              <w:pStyle w:val="Compact"/>
            </w:pPr>
            <w:r>
              <w:t xml:space="preserve">Art. 583-bis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n</w:t>
            </w:r>
          </w:p>
        </w:tc>
        <w:tc>
          <w:tcPr/>
          <w:p>
            <w:pPr>
              <w:pStyle w:val="Compact"/>
            </w:pPr>
            <w:r>
              <w:t xml:space="preserve">Deformazione dell’aspetto della persona mediante lesioni permanenti al viso</w:t>
            </w:r>
          </w:p>
        </w:tc>
        <w:tc>
          <w:tcPr/>
          <w:p>
            <w:pPr>
              <w:pStyle w:val="Compact"/>
            </w:pPr>
            <w:r>
              <w:t xml:space="preserve">Art. 583-quinquies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o</w:t>
            </w:r>
          </w:p>
        </w:tc>
        <w:tc>
          <w:tcPr/>
          <w:p>
            <w:pPr>
              <w:pStyle w:val="Compact"/>
            </w:pPr>
            <w:r>
              <w:t xml:space="preserve">Interruzione di gravidanza non consensuale</w:t>
            </w:r>
          </w:p>
        </w:tc>
        <w:tc>
          <w:tcPr/>
          <w:p>
            <w:pPr>
              <w:pStyle w:val="Compact"/>
            </w:pPr>
            <w:r>
              <w:t xml:space="preserve">Art. 593-ter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p</w:t>
            </w:r>
          </w:p>
        </w:tc>
        <w:tc>
          <w:tcPr/>
          <w:p>
            <w:pPr>
              <w:pStyle w:val="Compact"/>
            </w:pPr>
            <w:r>
              <w:t xml:space="preserve">Sequestro di persona</w:t>
            </w:r>
          </w:p>
        </w:tc>
        <w:tc>
          <w:tcPr/>
          <w:p>
            <w:pPr>
              <w:pStyle w:val="Compact"/>
            </w:pPr>
            <w:r>
              <w:t xml:space="preserve">Art. 605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q</w:t>
            </w:r>
          </w:p>
        </w:tc>
        <w:tc>
          <w:tcPr/>
          <w:p>
            <w:pPr>
              <w:pStyle w:val="Compact"/>
            </w:pPr>
            <w:r>
              <w:t xml:space="preserve">Violenza privata</w:t>
            </w:r>
          </w:p>
        </w:tc>
        <w:tc>
          <w:tcPr/>
          <w:p>
            <w:pPr>
              <w:pStyle w:val="Compact"/>
            </w:pPr>
            <w:r>
              <w:t xml:space="preserve">Art. 610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r</w:t>
            </w:r>
          </w:p>
        </w:tc>
        <w:tc>
          <w:tcPr/>
          <w:p>
            <w:pPr>
              <w:pStyle w:val="Compact"/>
            </w:pPr>
            <w:r>
              <w:t xml:space="preserve">Violazione di domicilio</w:t>
            </w:r>
          </w:p>
        </w:tc>
        <w:tc>
          <w:tcPr/>
          <w:p>
            <w:pPr>
              <w:pStyle w:val="Compact"/>
            </w:pPr>
            <w:r>
              <w:t xml:space="preserve">Art. 614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s</w:t>
            </w:r>
          </w:p>
        </w:tc>
        <w:tc>
          <w:tcPr/>
          <w:p>
            <w:pPr>
              <w:pStyle w:val="Compact"/>
            </w:pPr>
            <w:r>
              <w:t xml:space="preserve">Violazione degli obblighi di assistenza familiare</w:t>
            </w:r>
          </w:p>
        </w:tc>
        <w:tc>
          <w:tcPr/>
          <w:p>
            <w:pPr>
              <w:pStyle w:val="Compact"/>
            </w:pPr>
            <w:r>
              <w:t xml:space="preserve">Artt. 570 e 570-bis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t</w:t>
            </w:r>
          </w:p>
        </w:tc>
        <w:tc>
          <w:tcPr/>
          <w:p>
            <w:pPr>
              <w:pStyle w:val="Compact"/>
            </w:pPr>
            <w:r>
              <w:t xml:space="preserve">Prostituzione minorile</w:t>
            </w:r>
          </w:p>
        </w:tc>
        <w:tc>
          <w:tcPr/>
          <w:p>
            <w:pPr>
              <w:pStyle w:val="Compact"/>
            </w:pPr>
            <w:r>
              <w:t xml:space="preserve">Art. 600-bis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u</w:t>
            </w:r>
          </w:p>
        </w:tc>
        <w:tc>
          <w:tcPr/>
          <w:p>
            <w:pPr>
              <w:pStyle w:val="Compact"/>
            </w:pPr>
            <w:r>
              <w:t xml:space="preserve">Abbandono di persona minore o incapace</w:t>
            </w:r>
          </w:p>
        </w:tc>
        <w:tc>
          <w:tcPr/>
          <w:p>
            <w:pPr>
              <w:pStyle w:val="Compact"/>
            </w:pPr>
            <w:r>
              <w:t xml:space="preserve">Art. 591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v</w:t>
            </w:r>
          </w:p>
        </w:tc>
        <w:tc>
          <w:tcPr/>
          <w:p>
            <w:pPr>
              <w:pStyle w:val="Compact"/>
            </w:pPr>
            <w:r>
              <w:t xml:space="preserve">Danneggiamento</w:t>
            </w:r>
          </w:p>
        </w:tc>
        <w:tc>
          <w:tcPr/>
          <w:p>
            <w:pPr>
              <w:pStyle w:val="Compact"/>
            </w:pPr>
            <w:r>
              <w:t xml:space="preserve">Art. 635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z</w:t>
            </w:r>
          </w:p>
        </w:tc>
        <w:tc>
          <w:tcPr/>
          <w:p>
            <w:pPr>
              <w:pStyle w:val="Compact"/>
            </w:pPr>
            <w:r>
              <w:t xml:space="preserve">Estorsione</w:t>
            </w:r>
          </w:p>
        </w:tc>
        <w:tc>
          <w:tcPr/>
          <w:p>
            <w:pPr>
              <w:pStyle w:val="Compact"/>
            </w:pPr>
            <w:r>
              <w:t xml:space="preserve">Art. 629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</w:t>
            </w:r>
          </w:p>
        </w:tc>
        <w:tc>
          <w:tcPr/>
          <w:p>
            <w:pPr>
              <w:pStyle w:val="Compact"/>
            </w:pPr>
            <w:r>
              <w:t xml:space="preserve">Minaccia</w:t>
            </w:r>
          </w:p>
        </w:tc>
        <w:tc>
          <w:tcPr/>
          <w:p>
            <w:pPr>
              <w:pStyle w:val="Compact"/>
            </w:pPr>
            <w:r>
              <w:t xml:space="preserve">Art. 612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bb</w:t>
            </w:r>
          </w:p>
        </w:tc>
        <w:tc>
          <w:tcPr/>
          <w:p>
            <w:pPr>
              <w:pStyle w:val="Compact"/>
            </w:pPr>
            <w:r>
              <w:t xml:space="preserve">Favoreggiamento e sfruttamento della prostituzione</w:t>
            </w:r>
          </w:p>
        </w:tc>
        <w:tc>
          <w:tcPr/>
          <w:p>
            <w:pPr>
              <w:pStyle w:val="Compact"/>
            </w:pPr>
            <w:r>
              <w:t xml:space="preserve">Art. 3 Legge 75/1958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cc</w:t>
            </w:r>
          </w:p>
        </w:tc>
        <w:tc>
          <w:tcPr/>
          <w:p>
            <w:pPr>
              <w:pStyle w:val="Compact"/>
            </w:pPr>
            <w:r>
              <w:t xml:space="preserve">Circonvenzione di incapace</w:t>
            </w:r>
          </w:p>
        </w:tc>
        <w:tc>
          <w:tcPr/>
          <w:p>
            <w:pPr>
              <w:pStyle w:val="Compact"/>
            </w:pPr>
            <w:r>
              <w:t xml:space="preserve">Art. 643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dd</w:t>
            </w:r>
          </w:p>
        </w:tc>
        <w:tc>
          <w:tcPr/>
          <w:p>
            <w:pPr>
              <w:pStyle w:val="Compact"/>
            </w:pPr>
            <w:r>
              <w:t xml:space="preserve">Tratta di persone</w:t>
            </w:r>
          </w:p>
        </w:tc>
        <w:tc>
          <w:tcPr/>
          <w:p>
            <w:pPr>
              <w:pStyle w:val="Compact"/>
            </w:pPr>
            <w:r>
              <w:t xml:space="preserve">Art. 601 CP</w:t>
            </w:r>
          </w:p>
        </w:tc>
      </w:tr>
      <w:tr>
        <w:tc>
          <w:tcPr/>
          <w:p>
            <w:pPr>
              <w:pStyle w:val="Compact"/>
            </w:pPr>
            <w:r>
              <w:t xml:space="preserve">ee</w:t>
            </w:r>
          </w:p>
        </w:tc>
        <w:tc>
          <w:tcPr/>
          <w:p>
            <w:pPr>
              <w:pStyle w:val="Compact"/>
            </w:pPr>
            <w:r>
              <w:t xml:space="preserve">Stalking online</w:t>
            </w:r>
          </w:p>
        </w:tc>
        <w:tc>
          <w:tcPr/>
          <w:p>
            <w:pPr>
              <w:pStyle w:val="Compact"/>
            </w:pPr>
            <w:r>
              <w:t xml:space="preserve">Art. 7 Direttiva UE 2024/1385</w:t>
            </w:r>
          </w:p>
        </w:tc>
      </w:tr>
      <w:tr>
        <w:tc>
          <w:tcPr/>
          <w:p>
            <w:pPr>
              <w:pStyle w:val="Compact"/>
            </w:pPr>
            <w:r>
              <w:t xml:space="preserve">ff</w:t>
            </w:r>
          </w:p>
        </w:tc>
        <w:tc>
          <w:tcPr/>
          <w:p>
            <w:pPr>
              <w:pStyle w:val="Compact"/>
            </w:pPr>
            <w:r>
              <w:t xml:space="preserve">Molestie online</w:t>
            </w:r>
          </w:p>
        </w:tc>
        <w:tc>
          <w:tcPr/>
          <w:p>
            <w:pPr>
              <w:pStyle w:val="Compact"/>
            </w:pPr>
            <w:r>
              <w:t xml:space="preserve">Art. 8 Direttiva UE 2024/1385</w:t>
            </w:r>
          </w:p>
        </w:tc>
      </w:tr>
      <w:tr>
        <w:tc>
          <w:tcPr/>
          <w:p>
            <w:pPr>
              <w:pStyle w:val="Compact"/>
            </w:pPr>
            <w:r>
              <w:t xml:space="preserve">gg</w:t>
            </w:r>
          </w:p>
        </w:tc>
        <w:tc>
          <w:tcPr/>
          <w:p>
            <w:pPr>
              <w:pStyle w:val="Compact"/>
            </w:pPr>
            <w:r>
              <w:t xml:space="preserve">Istigazione alla violenza o all’odio online</w:t>
            </w:r>
          </w:p>
        </w:tc>
        <w:tc>
          <w:tcPr/>
          <w:p>
            <w:pPr>
              <w:pStyle w:val="Compact"/>
            </w:pPr>
            <w:r>
              <w:t xml:space="preserve">Art. 9 Direttiva UE 2024/1385</w:t>
            </w:r>
          </w:p>
        </w:tc>
      </w:tr>
    </w:tbl>
    <w:p>
      <w:pPr>
        <w:pStyle w:val="BodyText"/>
      </w:pPr>
      <w:r>
        <w:t xml:space="preserve"> </w:t>
      </w:r>
    </w:p>
    <w:tbl>
      <w:tblPr>
        <w:tblStyle w:val="Table"/>
        <w:tblLook w:firstRow="0" w:lastRow="0" w:firstColumn="0" w:lastColumn="0" w:noHBand="0" w:noVBand="0" w:val="0000"/>
        <w:tblBorders>
          <w:left w:val="single" w:sz="24" w:space="0" w:color="CC1914"/>
          <w:right w:val="single" w:sz="4" w:space="0" w:color="CC1914"/>
          <w:top w:val="single" w:sz="4" w:space="0" w:color="CC1914"/>
          <w:bottom w:val="single" w:sz="4" w:space="0" w:color="CC1914"/>
        </w:tblBorders>
        <w:tblCellMar>
          <w:left w:w="144" w:type="dxa"/>
          <w:right w:w="144" w:type="dxa"/>
        </w:tblCellMar>
        <w:tblInd w:w="164" w:type="dxa"/>
        <w:tblW w:type="pct" w:w="100%"/>
      </w:tblPr>
      <w:tr>
        <w:trPr>
          <w:cantSplit/>
        </w:trPr>
        <w:tc>
          <w:tcPr>
            <w:shd w:color="auto" w:fill="f7dddc" w:val="clear"/>
            <w:tcMar>
              <w:top w:w="92" w:type="dxa"/>
              <w:bottom w:w="92" w:type="dxa"/>
            </w:tcMar>
          </w:tcPr>
          <w:p>
            <w:pPr>
              <w:pStyle w:val="BodyText"/>
            </w:pPr>
            <w:pPr>
              <w:spacing w:before="0" w:after="0"/>
              <w:textAlignment w:val="center"/>
            </w:pPr>
            <w:r>
              <w:drawing>
                <wp:inline>
                  <wp:extent cx="152400" cy="152400"/>
                  <wp:effectExtent b="0" l="0" r="0" t="0"/>
                  <wp:docPr descr="" title="" id="56" name="Picture"/>
                  <a:graphic>
                    <a:graphicData uri="http://schemas.openxmlformats.org/drawingml/2006/picture">
                      <pic:pic>
                        <pic:nvPicPr>
                          <pic:cNvPr descr="/opt/quarto/share/formats/docx/important.png" id="5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 xml:space="preserve"> </w:t>
            </w:r>
            <w:r>
              <w:t xml:space="preserve">Reati aggiuntivi non previsti dalla L. 53/2022</w:t>
            </w:r>
          </w:p>
        </w:tc>
      </w:tr>
      <w:tr>
        <w:trPr>
          <w:cantSplit/>
        </w:trPr>
        <w:tc>
          <w:tcPr>
            <w:tcMar>
              <w:top w:w="108" w:type="dxa"/>
              <w:bottom w:w="108" w:type="dxa"/>
            </w:tcMar>
          </w:tcPr>
          <w:p>
            <w:pPr>
              <w:pStyle w:val="BodyText"/>
            </w:pPr>
            <w:pPr>
              <w:spacing w:before="16"/>
            </w:pPr>
            <w:r>
              <w:t xml:space="preserve">I reati con codici</w:t>
            </w:r>
            <w:r>
              <w:t xml:space="preserve"> </w:t>
            </w:r>
            <w:r>
              <w:rPr>
                <w:b/>
                <w:bCs/>
              </w:rPr>
              <w:t xml:space="preserve">ee</w:t>
            </w:r>
            <w:r>
              <w:t xml:space="preserve">,</w:t>
            </w:r>
            <w:r>
              <w:t xml:space="preserve"> </w:t>
            </w:r>
            <w:r>
              <w:rPr>
                <w:b/>
                <w:bCs/>
              </w:rPr>
              <w:t xml:space="preserve">ff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gg</w:t>
            </w:r>
            <w:r>
              <w:t xml:space="preserve"> </w:t>
            </w:r>
            <w:r>
              <w:t xml:space="preserve">(stalking online, molestie online e istigazione alla violenza/odio online)</w:t>
            </w:r>
            <w:r>
              <w:t xml:space="preserve"> </w:t>
            </w:r>
            <w:r>
              <w:rPr>
                <w:b/>
                <w:bCs/>
              </w:rPr>
              <w:t xml:space="preserve">non sono attualmente previsti dall’Art. 5, comma 3 della Legge 53/2022</w:t>
            </w:r>
            <w:r>
              <w:t xml:space="preserve">, ma derivano dalla</w:t>
            </w:r>
            <w:r>
              <w:t xml:space="preserve"> </w:t>
            </w:r>
            <w:hyperlink r:id="rId48">
              <w:r>
                <w:rPr>
                  <w:rStyle w:val="Hyperlink"/>
                  <w:b/>
                  <w:bCs/>
                </w:rPr>
                <w:t xml:space="preserve">Direttiva UE 2024/1385</w:t>
              </w:r>
            </w:hyperlink>
            <w:r>
              <w:t xml:space="preserve"> </w:t>
            </w:r>
            <w:r>
              <w:t xml:space="preserve">(articoli 7, 8 e 9) che l’Italia dovrà recepire entro il</w:t>
            </w:r>
            <w:r>
              <w:t xml:space="preserve"> </w:t>
            </w:r>
            <w:r>
              <w:rPr>
                <w:b/>
                <w:bCs/>
              </w:rPr>
              <w:t xml:space="preserve">14 giugno 2027</w:t>
            </w:r>
            <w:r>
              <w:t xml:space="preserve">.</w:t>
            </w:r>
          </w:p>
          <w:p>
            <w:pPr>
              <w:pStyle w:val="BodyText"/>
            </w:pPr>
            <w:r>
              <w:t xml:space="preserve">Sono stati inclusi in questa proposta per:</w:t>
            </w:r>
          </w:p>
          <w:p>
            <w:pPr>
              <w:pStyle w:val="Compact"/>
              <w:numPr>
                <w:ilvl w:val="0"/>
                <w:numId w:val="1012"/>
              </w:numPr>
            </w:pPr>
            <w:r>
              <w:rPr>
                <w:b/>
                <w:bCs/>
              </w:rPr>
              <w:t xml:space="preserve">Anticipare l’attuazione</w:t>
            </w:r>
            <w:r>
              <w:t xml:space="preserve"> </w:t>
            </w:r>
            <w:r>
              <w:t xml:space="preserve">della normativa europea in arrivo</w:t>
            </w:r>
          </w:p>
          <w:p>
            <w:pPr>
              <w:pStyle w:val="Compact"/>
              <w:numPr>
                <w:ilvl w:val="0"/>
                <w:numId w:val="1012"/>
              </w:numPr>
            </w:pPr>
            <w:r>
              <w:rPr>
                <w:b/>
                <w:bCs/>
              </w:rPr>
              <w:t xml:space="preserve">Completare il quadro</w:t>
            </w:r>
            <w:r>
              <w:t xml:space="preserve"> </w:t>
            </w:r>
            <w:r>
              <w:t xml:space="preserve">dei reati digitali, sempre più rilevanti</w:t>
            </w:r>
          </w:p>
          <w:p>
            <w:pPr>
              <w:pStyle w:val="Compact"/>
              <w:numPr>
                <w:ilvl w:val="0"/>
                <w:numId w:val="1012"/>
              </w:numPr>
            </w:pPr>
            <w:r>
              <w:rPr>
                <w:b/>
                <w:bCs/>
              </w:rPr>
              <w:t xml:space="preserve">Garantire continuità</w:t>
            </w:r>
            <w:r>
              <w:t xml:space="preserve"> </w:t>
            </w:r>
            <w:r>
              <w:t xml:space="preserve">nel monitoraggio senza dover ristrutturare lo schema in futuro</w:t>
            </w:r>
          </w:p>
          <w:p>
            <w:pPr>
              <w:pStyle w:val="Compact"/>
              <w:numPr>
                <w:ilvl w:val="0"/>
                <w:numId w:val="1012"/>
              </w:numPr>
            </w:pPr>
            <w:r>
              <w:rPr>
                <w:b/>
                <w:bCs/>
              </w:rPr>
              <w:t xml:space="preserve">Fornire dati comparabili</w:t>
            </w:r>
            <w:r>
              <w:t xml:space="preserve"> </w:t>
            </w:r>
            <w:r>
              <w:t xml:space="preserve">a livello europeo sin da subito</w:t>
            </w:r>
          </w:p>
          <w:p>
            <w:pPr>
              <w:pStyle w:val="FirstParagraph"/>
            </w:pPr>
            <w:pPr>
              <w:spacing w:after="16"/>
            </w:pPr>
            <w:r>
              <w:t xml:space="preserve">Si raccomanda quindi di prevedere fin da ora la raccolta di questi dati, in attesa del formale recepimento della direttiva.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8"/>
    <w:bookmarkStart w:id="59" w:name="tipologia-di-arma"/>
    <w:p>
      <w:pPr>
        <w:pStyle w:val="Heading3"/>
      </w:pPr>
      <w:r>
        <w:t xml:space="preserve">Tipologia di Arma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La</w:t>
      </w:r>
      <w:r>
        <w:t xml:space="preserve"> </w:t>
      </w:r>
      <w:hyperlink r:id="rId26">
        <w:r>
          <w:rPr>
            <w:rStyle w:val="Hyperlink"/>
          </w:rPr>
          <w:t xml:space="preserve">legge 53/2022</w:t>
        </w:r>
      </w:hyperlink>
      <w:r>
        <w:t xml:space="preserve"> </w:t>
      </w:r>
      <w:r>
        <w:t xml:space="preserve">prevede la rilevazione della</w:t>
      </w:r>
      <w:r>
        <w:t xml:space="preserve"> </w:t>
      </w:r>
      <w:r>
        <w:t xml:space="preserve">“tipologia di arma eventualmente utilizzata”</w:t>
      </w:r>
      <w:r>
        <w:t xml:space="preserve"> </w:t>
      </w:r>
      <w:r>
        <w:t xml:space="preserve">ma non specifica i valori controllati. La tabella seguente è un</w:t>
      </w:r>
      <w:r>
        <w:t xml:space="preserve"> </w:t>
      </w:r>
      <w:r>
        <w:rPr>
          <w:b/>
          <w:bCs/>
        </w:rPr>
        <w:t xml:space="preserve">esempio</w:t>
      </w:r>
      <w:r>
        <w:t xml:space="preserve"> </w:t>
      </w:r>
      <w:r>
        <w:t xml:space="preserve">da validare. Si raccomanda di utilizzare</w:t>
      </w:r>
      <w:r>
        <w:t xml:space="preserve"> </w:t>
      </w:r>
      <w:r>
        <w:rPr>
          <w:b/>
          <w:bCs/>
        </w:rPr>
        <w:t xml:space="preserve">classificazioni già esistenti e consolidate</w:t>
      </w:r>
      <w:r>
        <w:t xml:space="preserve"> </w:t>
      </w:r>
      <w:r>
        <w:t xml:space="preserve">in uso presso le Forze dell’Ordine (es. tassonomie SDI - Sistema di Indagine, o standard ISTAT) per garantire coerenza e interoperabilità dei dati.</w:t>
      </w:r>
    </w:p>
    <w:p>
      <w:pPr>
        <w:pStyle w:val="BodyText"/>
      </w:pPr>
      <w:r>
        <w:t xml:space="preserve">Esempio di valori controllati per il campo</w:t>
      </w:r>
      <w:r>
        <w:t xml:space="preserve"> </w:t>
      </w:r>
      <w:r>
        <w:rPr>
          <w:rStyle w:val="VerbatimChar"/>
        </w:rPr>
        <w:t xml:space="preserve">tipologia_arma</w:t>
      </w:r>
      <w:r>
        <w:t xml:space="preserve">:</w:t>
      </w:r>
    </w:p>
    <w:p>
      <w:pPr>
        <w:pStyle w:val="TableCaption"/>
      </w:pPr>
      <w:r>
        <w:t xml:space="preserve">Valori controllati proposti per la tipologia di arma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Valori controllati proposti per la tipologia di arma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FUOCO</w:t>
            </w:r>
          </w:p>
        </w:tc>
        <w:tc>
          <w:tcPr/>
          <w:p>
            <w:pPr>
              <w:pStyle w:val="Compact"/>
            </w:pPr>
            <w:r>
              <w:t xml:space="preserve">Arma da fuoco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BIANCA</w:t>
            </w:r>
          </w:p>
        </w:tc>
        <w:tc>
          <w:tcPr/>
          <w:p>
            <w:pPr>
              <w:pStyle w:val="Compact"/>
            </w:pPr>
            <w:r>
              <w:t xml:space="preserve">Arma bianca (coltello, taglierino,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CONTUND</w:t>
            </w:r>
          </w:p>
        </w:tc>
        <w:tc>
          <w:tcPr/>
          <w:p>
            <w:pPr>
              <w:pStyle w:val="Compact"/>
            </w:pPr>
            <w:r>
              <w:t xml:space="preserve">Oggetto contundente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CHIMICO</w:t>
            </w:r>
          </w:p>
        </w:tc>
        <w:tc>
          <w:tcPr/>
          <w:p>
            <w:pPr>
              <w:pStyle w:val="Compact"/>
            </w:pPr>
            <w:r>
              <w:t xml:space="preserve">Sostanza chimica (acido, veleno,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MANI</w:t>
            </w:r>
          </w:p>
        </w:tc>
        <w:tc>
          <w:tcPr/>
          <w:p>
            <w:pPr>
              <w:pStyle w:val="Compact"/>
            </w:pPr>
            <w:r>
              <w:t xml:space="preserve">Mani nude / corpo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ALTRO</w:t>
            </w:r>
          </w:p>
        </w:tc>
        <w:tc>
          <w:tcPr/>
          <w:p>
            <w:pPr>
              <w:pStyle w:val="Compact"/>
            </w:pPr>
            <w:r>
              <w:t xml:space="preserve">Altro tipo di arma/oggetto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ND</w:t>
            </w:r>
          </w:p>
        </w:tc>
        <w:tc>
          <w:tcPr/>
          <w:p>
            <w:pPr>
              <w:pStyle w:val="Compact"/>
            </w:pPr>
            <w:r>
              <w:t xml:space="preserve">Non determinata / Non nota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9"/>
    <w:bookmarkStart w:id="60" w:name="luogo-del-fatto"/>
    <w:p>
      <w:pPr>
        <w:pStyle w:val="Heading3"/>
      </w:pPr>
      <w:r>
        <w:t xml:space="preserve">Luogo del Fatto</w:t>
      </w:r>
    </w:p>
    <w:p>
      <w:pPr>
        <w:pStyle w:val="FirstParagraph"/>
      </w:pPr>
      <w:r>
        <w:rPr>
          <w:b/>
          <w:bCs/>
        </w:rPr>
        <w:t xml:space="preserve">Nota</w:t>
      </w:r>
      <w:r>
        <w:t xml:space="preserve">: La</w:t>
      </w:r>
      <w:r>
        <w:t xml:space="preserve"> </w:t>
      </w:r>
      <w:hyperlink r:id="rId26">
        <w:r>
          <w:rPr>
            <w:rStyle w:val="Hyperlink"/>
          </w:rPr>
          <w:t xml:space="preserve">legge 53/2022</w:t>
        </w:r>
      </w:hyperlink>
      <w:r>
        <w:t xml:space="preserve"> </w:t>
      </w:r>
      <w:r>
        <w:t xml:space="preserve">prevede la rilevazione delle</w:t>
      </w:r>
      <w:r>
        <w:t xml:space="preserve"> </w:t>
      </w:r>
      <w:r>
        <w:t xml:space="preserve">“informazioni sul luogo dove il fatto è avvenuto”</w:t>
      </w:r>
      <w:r>
        <w:t xml:space="preserve"> </w:t>
      </w:r>
      <w:r>
        <w:t xml:space="preserve">ma non specifica i valori controllati. La tabella seguente è un</w:t>
      </w:r>
      <w:r>
        <w:t xml:space="preserve"> </w:t>
      </w:r>
      <w:r>
        <w:rPr>
          <w:b/>
          <w:bCs/>
        </w:rPr>
        <w:t xml:space="preserve">esempio</w:t>
      </w:r>
      <w:r>
        <w:t xml:space="preserve"> </w:t>
      </w:r>
      <w:r>
        <w:t xml:space="preserve">da validare. Si raccomanda di utilizzare</w:t>
      </w:r>
      <w:r>
        <w:t xml:space="preserve"> </w:t>
      </w:r>
      <w:r>
        <w:rPr>
          <w:b/>
          <w:bCs/>
        </w:rPr>
        <w:t xml:space="preserve">classificazioni già esistenti e consolidate</w:t>
      </w:r>
      <w:r>
        <w:t xml:space="preserve"> </w:t>
      </w:r>
      <w:r>
        <w:t xml:space="preserve">in uso presso le Forze dell’Ordine (es. tassonomie SDI - Sistema di Indagine, o standard ISTAT) per garantire coerenza e interoperabilità dei dati.</w:t>
      </w:r>
    </w:p>
    <w:p>
      <w:pPr>
        <w:pStyle w:val="BodyText"/>
      </w:pPr>
      <w:r>
        <w:t xml:space="preserve">Esempio di valori controllati per il campo</w:t>
      </w:r>
      <w:r>
        <w:t xml:space="preserve"> </w:t>
      </w:r>
      <w:r>
        <w:rPr>
          <w:rStyle w:val="VerbatimChar"/>
        </w:rPr>
        <w:t xml:space="preserve">luogo_fatto</w:t>
      </w:r>
      <w:r>
        <w:t xml:space="preserve">:</w:t>
      </w:r>
    </w:p>
    <w:p>
      <w:pPr>
        <w:pStyle w:val="TableCaption"/>
      </w:pPr>
      <w:r>
        <w:t xml:space="preserve">Valori controllati proposti per il luogo del fatto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Valori controllati proposti per il luogo del fatto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ABIT_VITTIMA</w:t>
            </w:r>
          </w:p>
        </w:tc>
        <w:tc>
          <w:tcPr/>
          <w:p>
            <w:pPr>
              <w:pStyle w:val="Compact"/>
            </w:pPr>
            <w:r>
              <w:t xml:space="preserve">Abitazione della vittima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ABIT_AUTORE</w:t>
            </w:r>
          </w:p>
        </w:tc>
        <w:tc>
          <w:tcPr/>
          <w:p>
            <w:pPr>
              <w:pStyle w:val="Compact"/>
            </w:pPr>
            <w:r>
              <w:t xml:space="preserve">Abitazione dell’autore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ABIT_COMUNE</w:t>
            </w:r>
          </w:p>
        </w:tc>
        <w:tc>
          <w:tcPr/>
          <w:p>
            <w:pPr>
              <w:pStyle w:val="Compact"/>
            </w:pPr>
            <w:r>
              <w:t xml:space="preserve">Abitazione comune (convivenza)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LAVORO</w:t>
            </w:r>
          </w:p>
        </w:tc>
        <w:tc>
          <w:tcPr/>
          <w:p>
            <w:pPr>
              <w:pStyle w:val="Compact"/>
            </w:pPr>
            <w:r>
              <w:t xml:space="preserve">Luogo di lavoro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SCUOLA</w:t>
            </w:r>
          </w:p>
        </w:tc>
        <w:tc>
          <w:tcPr/>
          <w:p>
            <w:pPr>
              <w:pStyle w:val="Compact"/>
            </w:pPr>
            <w:r>
              <w:t xml:space="preserve">Istituto scolastico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STRADA</w:t>
            </w:r>
          </w:p>
        </w:tc>
        <w:tc>
          <w:tcPr/>
          <w:p>
            <w:pPr>
              <w:pStyle w:val="Compact"/>
            </w:pPr>
            <w:r>
              <w:t xml:space="preserve">Strada / luogo pubblico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VEICOLO</w:t>
            </w:r>
          </w:p>
        </w:tc>
        <w:tc>
          <w:tcPr/>
          <w:p>
            <w:pPr>
              <w:pStyle w:val="Compact"/>
            </w:pPr>
            <w:r>
              <w:t xml:space="preserve">Veicolo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LOCALE</w:t>
            </w:r>
          </w:p>
        </w:tc>
        <w:tc>
          <w:tcPr/>
          <w:p>
            <w:pPr>
              <w:pStyle w:val="Compact"/>
            </w:pPr>
            <w:r>
              <w:t xml:space="preserve">Locale pubblico (bar, ristorante, ecc.)</w:t>
            </w:r>
          </w:p>
        </w:tc>
      </w:tr>
      <w:tr>
        <w:tc>
          <w:tcPr/>
          <w:p>
            <w:pPr>
              <w:pStyle w:val="Compact"/>
            </w:pPr>
            <w:r>
              <w:t xml:space="preserve">ONLINE</w:t>
            </w:r>
          </w:p>
        </w:tc>
        <w:tc>
          <w:tcPr/>
          <w:p>
            <w:pPr>
              <w:pStyle w:val="Compact"/>
            </w:pPr>
            <w:r>
              <w:t xml:space="preserve">Online / digitale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ALTRO</w:t>
            </w:r>
          </w:p>
        </w:tc>
        <w:tc>
          <w:tcPr/>
          <w:p>
            <w:pPr>
              <w:pStyle w:val="Compact"/>
            </w:pPr>
            <w:r>
              <w:t xml:space="preserve">Altro luogo</w:t>
            </w:r>
          </w:p>
        </w:tc>
      </w:tr>
      <w:tr>
        <w:tc>
          <w:tcPr/>
          <w:p>
            <w:pPr>
              <w:pStyle w:val="Compact"/>
            </w:pPr>
            <w:r>
              <w:t xml:space="preserve">ND</w:t>
            </w:r>
          </w:p>
        </w:tc>
        <w:tc>
          <w:tcPr/>
          <w:p>
            <w:pPr>
              <w:pStyle w:val="Compact"/>
            </w:pPr>
            <w:r>
              <w:t xml:space="preserve">Non determinato / Non noto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60"/>
    <w:bookmarkStart w:id="63" w:name="tipo-evento-procedurale"/>
    <w:p>
      <w:pPr>
        <w:pStyle w:val="Heading3"/>
      </w:pPr>
      <w:r>
        <w:t xml:space="preserve">Tipo Evento Procedurale</w:t>
      </w:r>
    </w:p>
    <w:p>
      <w:pPr>
        <w:pStyle w:val="FirstParagraph"/>
      </w:pPr>
      <w:r>
        <w:rPr>
          <w:b/>
          <w:bCs/>
        </w:rPr>
        <w:t xml:space="preserve">Riferimento normativo</w:t>
      </w:r>
      <w:r>
        <w:t xml:space="preserve">:</w:t>
      </w:r>
      <w:r>
        <w:t xml:space="preserve"> </w:t>
      </w:r>
      <w:hyperlink r:id="rId26">
        <w:r>
          <w:rPr>
            <w:rStyle w:val="Hyperlink"/>
          </w:rPr>
          <w:t xml:space="preserve">Articolo 5, comma 5</w:t>
        </w:r>
      </w:hyperlink>
      <w:r>
        <w:t xml:space="preserve"> </w:t>
      </w:r>
      <w:r>
        <w:t xml:space="preserve">della Legge 53/2022</w:t>
      </w:r>
    </w:p>
    <w:p>
      <w:pPr>
        <w:pStyle w:val="BodyText"/>
      </w:pPr>
      <w:r>
        <w:t xml:space="preserve">Valori controllati per il campo</w:t>
      </w:r>
      <w:r>
        <w:t xml:space="preserve"> </w:t>
      </w:r>
      <w:r>
        <w:rPr>
          <w:rStyle w:val="VerbatimChar"/>
        </w:rPr>
        <w:t xml:space="preserve">tipo_evento</w:t>
      </w:r>
      <w:r>
        <w:t xml:space="preserve"> </w:t>
      </w:r>
      <w:r>
        <w:t xml:space="preserve">del dataset Sistema Interministeriale:</w:t>
      </w:r>
    </w:p>
    <w:p>
      <w:pPr>
        <w:pStyle w:val="TableCaption"/>
      </w:pPr>
      <w:r>
        <w:t xml:space="preserve">Valori controllati per il tipo di evento procedurale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Valori controllati per il tipo di evento procedurale"/>
      </w:tblPr>
      <w:tblGrid>
        <w:gridCol w:w="2184"/>
        <w:gridCol w:w="2184"/>
        <w:gridCol w:w="35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Codice</w:t>
            </w:r>
          </w:p>
        </w:tc>
        <w:tc>
          <w:tcPr/>
          <w:p>
            <w:pPr>
              <w:pStyle w:val="Compact"/>
            </w:pPr>
            <w:r>
              <w:t xml:space="preserve">Valore</w:t>
            </w:r>
          </w:p>
        </w:tc>
        <w:tc>
          <w:tcPr/>
          <w:p>
            <w:pPr>
              <w:pStyle w:val="Compact"/>
            </w:pPr>
            <w:r>
              <w:t xml:space="preserve">Descrizione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Denuncia</w:t>
            </w:r>
          </w:p>
        </w:tc>
        <w:tc>
          <w:tcPr/>
          <w:p>
            <w:pPr>
              <w:pStyle w:val="Compact"/>
            </w:pPr>
            <w:r>
              <w:t xml:space="preserve">Presentazione di denuncia/querela alle forze dell’ordine o alla Procura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AUDIZIONE_PM</w:t>
            </w:r>
          </w:p>
        </w:tc>
        <w:tc>
          <w:tcPr/>
          <w:p>
            <w:pPr>
              <w:pStyle w:val="Compact"/>
            </w:pPr>
            <w:r>
              <w:t xml:space="preserve">Audizione personale PM</w:t>
            </w:r>
          </w:p>
        </w:tc>
        <w:tc>
          <w:tcPr/>
          <w:p>
            <w:pPr>
              <w:pStyle w:val="Compact"/>
            </w:pPr>
            <w:r>
              <w:t xml:space="preserve">Audizione personale da parte del PM su richiesta motivata della vittima (</w:t>
            </w:r>
            <w:hyperlink r:id="rId61">
              <w:r>
                <w:rPr>
                  <w:rStyle w:val="Hyperlink"/>
                </w:rPr>
                <w:t xml:space="preserve">art. 362 comma 1-ter cpp</w:t>
              </w:r>
            </w:hyperlink>
            <w:r>
              <w:t xml:space="preserve">, come modificato dalla</w:t>
            </w:r>
            <w:r>
              <w:t xml:space="preserve"> </w:t>
            </w:r>
            <w:hyperlink r:id="rId32">
              <w:r>
                <w:rPr>
                  <w:rStyle w:val="Hyperlink"/>
                </w:rPr>
                <w:t xml:space="preserve">L. 181/2025, art. 3, lett. p)</w:t>
              </w:r>
            </w:hyperlink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MIS_PREV</w:t>
            </w:r>
          </w:p>
        </w:tc>
        <w:tc>
          <w:tcPr/>
          <w:p>
            <w:pPr>
              <w:pStyle w:val="Compact"/>
            </w:pPr>
            <w:r>
              <w:t xml:space="preserve">Misura di prevenzione</w:t>
            </w:r>
          </w:p>
        </w:tc>
        <w:tc>
          <w:tcPr/>
          <w:p>
            <w:pPr>
              <w:pStyle w:val="Compact"/>
            </w:pPr>
            <w:r>
              <w:t xml:space="preserve">Ammonimento del Questore ex art. 8 DL 11/2009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MIS_PREC</w:t>
            </w:r>
          </w:p>
        </w:tc>
        <w:tc>
          <w:tcPr/>
          <w:p>
            <w:pPr>
              <w:pStyle w:val="Compact"/>
            </w:pPr>
            <w:r>
              <w:t xml:space="preserve">Misura precautelare</w:t>
            </w:r>
          </w:p>
        </w:tc>
        <w:tc>
          <w:tcPr/>
          <w:p>
            <w:pPr>
              <w:pStyle w:val="Compact"/>
            </w:pPr>
            <w:r>
              <w:t xml:space="preserve">Allontanamento d’urgenza ex art. 384-bis cpp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MIS_CAUT</w:t>
            </w:r>
          </w:p>
        </w:tc>
        <w:tc>
          <w:tcPr/>
          <w:p>
            <w:pPr>
              <w:pStyle w:val="Compact"/>
            </w:pPr>
            <w:r>
              <w:t xml:space="preserve">Misura cautelare</w:t>
            </w:r>
          </w:p>
        </w:tc>
        <w:tc>
          <w:tcPr/>
          <w:p>
            <w:pPr>
              <w:pStyle w:val="Compact"/>
            </w:pPr>
            <w:r>
              <w:t xml:space="preserve">Divieto di avvicinamento, obbligo di dimora, arresti domiciliari, custodia cautelare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SEQ_CONSERV</w:t>
            </w:r>
          </w:p>
        </w:tc>
        <w:tc>
          <w:tcPr/>
          <w:p>
            <w:pPr>
              <w:pStyle w:val="Compact"/>
            </w:pPr>
            <w:r>
              <w:t xml:space="preserve">Sequestro conservativo</w:t>
            </w:r>
          </w:p>
        </w:tc>
        <w:tc>
          <w:tcPr/>
          <w:p>
            <w:pPr>
              <w:pStyle w:val="Compact"/>
            </w:pPr>
            <w:r>
              <w:t xml:space="preserve">Sequestro conservativo per garanzia risarcimento danni (</w:t>
            </w:r>
            <w:hyperlink r:id="rId62">
              <w:r>
                <w:rPr>
                  <w:rStyle w:val="Hyperlink"/>
                </w:rPr>
                <w:t xml:space="preserve">art. 316 comma 1-ter cpp</w:t>
              </w:r>
            </w:hyperlink>
            <w:r>
              <w:t xml:space="preserve">, introdotto dalla</w:t>
            </w:r>
            <w:r>
              <w:t xml:space="preserve"> </w:t>
            </w:r>
            <w:hyperlink r:id="rId32">
              <w:r>
                <w:rPr>
                  <w:rStyle w:val="Hyperlink"/>
                </w:rPr>
                <w:t xml:space="preserve">L. 181/2025, art. 3, lett. o)</w:t>
              </w:r>
            </w:hyperlink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ORD_PROT</w:t>
            </w:r>
          </w:p>
        </w:tc>
        <w:tc>
          <w:tcPr/>
          <w:p>
            <w:pPr>
              <w:pStyle w:val="Compact"/>
            </w:pPr>
            <w:r>
              <w:t xml:space="preserve">Ordine di protezione</w:t>
            </w:r>
          </w:p>
        </w:tc>
        <w:tc>
          <w:tcPr/>
          <w:p>
            <w:pPr>
              <w:pStyle w:val="Compact"/>
            </w:pPr>
            <w:r>
              <w:t xml:space="preserve">Ordine di protezione civile ex artt. 342-ter e 342-bis cc</w:t>
            </w:r>
          </w:p>
        </w:tc>
      </w:tr>
      <w:tr>
        <w:tc>
          <w:tcPr/>
          <w:p>
            <w:pPr>
              <w:pStyle w:val="Compact"/>
            </w:pPr>
            <w:r>
              <w:t xml:space="preserve">MIS_SIC</w:t>
            </w:r>
          </w:p>
        </w:tc>
        <w:tc>
          <w:tcPr/>
          <w:p>
            <w:pPr>
              <w:pStyle w:val="Compact"/>
            </w:pPr>
            <w:r>
              <w:t xml:space="preserve">Misura di sicurezza</w:t>
            </w:r>
          </w:p>
        </w:tc>
        <w:tc>
          <w:tcPr/>
          <w:p>
            <w:pPr>
              <w:pStyle w:val="Compact"/>
            </w:pPr>
            <w:r>
              <w:t xml:space="preserve">Libertà vigilata, casa di cura e custodia, etc.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VIOLAZIONE</w:t>
            </w:r>
          </w:p>
        </w:tc>
        <w:tc>
          <w:tcPr/>
          <w:p>
            <w:pPr>
              <w:pStyle w:val="Compact"/>
            </w:pPr>
            <w:r>
              <w:t xml:space="preserve">Violazione misura</w:t>
            </w:r>
          </w:p>
        </w:tc>
        <w:tc>
          <w:tcPr/>
          <w:p>
            <w:pPr>
              <w:pStyle w:val="Compact"/>
            </w:pPr>
            <w:r>
              <w:t xml:space="preserve">Violazione di misure cautelari, ordini di protezione, etc.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Arresto</w:t>
            </w:r>
          </w:p>
        </w:tc>
        <w:tc>
          <w:tcPr/>
          <w:p>
            <w:pPr>
              <w:pStyle w:val="Compact"/>
            </w:pPr>
            <w:r>
              <w:t xml:space="preserve">Arresto dell’autore del reato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ARCHIVIAZIONE</w:t>
            </w:r>
          </w:p>
        </w:tc>
        <w:tc>
          <w:tcPr/>
          <w:p>
            <w:pPr>
              <w:pStyle w:val="Compact"/>
            </w:pPr>
            <w:r>
              <w:t xml:space="preserve">Archiviazione</w:t>
            </w:r>
          </w:p>
        </w:tc>
        <w:tc>
          <w:tcPr/>
          <w:p>
            <w:pPr>
              <w:pStyle w:val="Compact"/>
            </w:pPr>
            <w:r>
              <w:t xml:space="preserve">Provvedimento di archiviazione del procedimento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Sentenza</w:t>
            </w:r>
          </w:p>
        </w:tc>
        <w:tc>
          <w:tcPr/>
          <w:p>
            <w:pPr>
              <w:pStyle w:val="Compact"/>
            </w:pPr>
            <w:r>
              <w:t xml:space="preserve">Sentenza (primo grado, appello, cassazione)</w:t>
            </w:r>
          </w:p>
        </w:tc>
      </w:tr>
    </w:tbl>
    <w:p>
      <w:pPr>
        <w:pStyle w:val="BodyText"/>
      </w:pPr>
      <w:r>
        <w:rPr>
          <w:b/>
          <w:bCs/>
        </w:rPr>
        <w:t xml:space="preserve">Nota</w:t>
      </w:r>
      <w:r>
        <w:t xml:space="preserve">: Il campo</w:t>
      </w:r>
      <w:r>
        <w:t xml:space="preserve"> </w:t>
      </w:r>
      <w:r>
        <w:rPr>
          <w:rStyle w:val="VerbatimChar"/>
        </w:rPr>
        <w:t xml:space="preserve">dettaglio_evento</w:t>
      </w:r>
      <w:r>
        <w:t xml:space="preserve"> </w:t>
      </w:r>
      <w:r>
        <w:t xml:space="preserve">contiene la specificazione puntuale (es. per MIS_CAUT:</w:t>
      </w:r>
      <w:r>
        <w:t xml:space="preserve"> </w:t>
      </w:r>
      <w:r>
        <w:t xml:space="preserve">“Divieto di avvicinamento ex art. 282-ter cpp”</w:t>
      </w:r>
      <w:r>
        <w:t xml:space="preserve">).</w:t>
      </w:r>
    </w:p>
    <w:bookmarkEnd w:id="63"/>
    <w:bookmarkEnd w:id="64"/>
    <w:sectPr w:rsidR="00941946" w:rsidSect="00D77D7F">
      <w:headerReference r:id="rId9" w:type="even"/>
      <w:headerReference r:id="rId11" w:type="default"/>
      <w:footerReference r:id="rId14" w:type="even"/>
      <w:footerReference r:id="rId13" w:type="default"/>
      <w:headerReference r:id="rId10" w:type="first"/>
      <w:footerReference r:id="rId12" w:type="first"/>
      <w:footnotePr>
        <w:numRestart w:val="eachSect"/>
      </w:footnotePr>
      <w:pgSz w:code="9" w:h="16838" w:w="11906"/>
      <w:pgMar w:bottom="1134" w:footer="720" w:gutter="0" w:header="720" w:left="1134" w:right="1134" w:top="1417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subsetted="1" w:fontKey="{46BBD5E0-C6DA-4894-A73A-0879D0F26CA8}"/>
    <w:embedBold r:id="rId2" w:subsetted="1" w:fontKey="{BDD143CD-0054-4273-9E99-D49DA7F7AF79}"/>
    <w:embedItalic r:id="rId3" w:subsetted="1" w:fontKey="{B2F187B8-F59B-4E76-8088-BBE067C544E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  <w:embedRegular r:id="rId4" w:subsetted="1" w:fontKey="{87C91754-A096-47B0-BAA1-F005088E7C7A}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  <w:embedRegular r:id="rId5" w:subsetted="1" w:fontKey="{A315AC10-5B22-4D47-B46F-61F059F80EDE}"/>
    <w:embedBold r:id="rId6" w:subsetted="1" w:fontKey="{643D309F-7D26-40F5-A1A2-6C256F4607F9}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  <w:embedRegular r:id="rId7" w:subsetted="1" w:fontKey="{D4A1E327-7AA4-4780-94D4-CFDF0671A75B}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3206" w14:textId="77777777" w:rsidR="00096B19" w:rsidRDefault="0009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84F2" w14:textId="77777777" w:rsidR="00096B19" w:rsidRDefault="00096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D30C" w14:textId="77777777" w:rsidR="00096B19" w:rsidRDefault="00096B19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18D1" w14:textId="77777777" w:rsidR="00096B19" w:rsidRDefault="0009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2433" w14:textId="77777777" w:rsidR="00096B19" w:rsidRDefault="0009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6A7A" w14:textId="77777777" w:rsidR="00096B19" w:rsidRDefault="00096B19">
    <w:pPr>
      <w:pStyle w:val="Header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170CD2DE"/>
    <w:multiLevelType w:val="multilevel"/>
    <w:tmpl w:val="A8323ACC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1486698590" w:numId="1">
    <w:abstractNumId w:val="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TrueTypeFonts/>
  <w:embedSystemFonts/>
  <w:saveSubset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spidmax="2050" v:ext="edit"/>
  </w:hdrShapeDefaults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1946"/>
    <w:rsid w:val="00096B19"/>
    <w:rsid w:val="001E5AFA"/>
    <w:rsid w:val="002A3E7D"/>
    <w:rsid w:val="003412B5"/>
    <w:rsid w:val="00432756"/>
    <w:rsid w:val="00506629"/>
    <w:rsid w:val="005B10E6"/>
    <w:rsid w:val="00604AFB"/>
    <w:rsid w:val="0062463A"/>
    <w:rsid w:val="006763F0"/>
    <w:rsid w:val="00773448"/>
    <w:rsid w:val="007A4FCB"/>
    <w:rsid w:val="00852965"/>
    <w:rsid w:val="0089238E"/>
    <w:rsid w:val="00941946"/>
    <w:rsid w:val="009705B0"/>
    <w:rsid w:val="00A3632F"/>
    <w:rsid w:val="00AB6551"/>
    <w:rsid w:val="00AF2CC4"/>
    <w:rsid w:val="00B145A0"/>
    <w:rsid w:val="00BB3B8D"/>
    <w:rsid w:val="00C263D9"/>
    <w:rsid w:val="00CE2205"/>
    <w:rsid w:val="00D77D7F"/>
    <w:rsid w:val="00DE27F6"/>
    <w:rsid w:val="00E17B4B"/>
    <w:rsid w:val="00E27197"/>
    <w:rsid w:val="00EB07F2"/>
    <w:rsid w:val="00FD769A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/>
    <o:shapelayout v:ext="edit">
      <o:idmap data="2" v:ext="edit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it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link w:val="Heading1Char"/>
    <w:uiPriority w:val="9"/>
    <w:qFormat/>
    <w:rsid w:val="009705B0"/>
    <w:pPr>
      <w:keepNext/>
      <w:keepLines/>
      <w:spacing w:after="80" w:before="360"/>
      <w:outlineLvl w:val="0"/>
    </w:pPr>
    <w:rPr>
      <w:rFonts w:ascii="Lora" w:cstheme="majorBidi" w:eastAsiaTheme="majorEastAsia" w:hAnsi="Lora"/>
      <w:color w:themeColor="accent1" w:themeShade="BF" w:val="0F4761"/>
      <w:spacing w:val="20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9705B0"/>
    <w:pPr>
      <w:keepNext/>
      <w:keepLines/>
      <w:spacing w:after="80" w:before="160"/>
      <w:outlineLvl w:val="1"/>
    </w:pPr>
    <w:rPr>
      <w:rFonts w:ascii="Lora" w:cstheme="majorBidi" w:eastAsiaTheme="majorEastAsia" w:hAnsi="Lora"/>
      <w:color w:themeColor="accent1" w:themeShade="BF" w:val="0F4761"/>
      <w:spacing w:val="20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9705B0"/>
    <w:pPr>
      <w:keepNext/>
      <w:keepLines/>
      <w:spacing w:after="80" w:before="160"/>
      <w:outlineLvl w:val="2"/>
    </w:pPr>
    <w:rPr>
      <w:rFonts w:ascii="Lora" w:cstheme="majorBidi" w:eastAsiaTheme="majorEastAsia" w:hAnsi="Lora"/>
      <w:color w:themeColor="accent1" w:themeShade="BF" w:val="0F4761"/>
      <w:spacing w:val="10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rsid w:val="00604AFB"/>
    <w:pPr>
      <w:spacing w:after="180" w:before="120" w:line="276" w:lineRule="auto"/>
    </w:pPr>
    <w:rPr>
      <w:rFonts w:ascii="Montserrat" w:hAnsi="Montserrat"/>
    </w:rPr>
  </w:style>
  <w:style w:customStyle="1" w:styleId="FirstParagraph" w:type="paragraph">
    <w:name w:val="First Paragraph"/>
    <w:basedOn w:val="BodyText"/>
    <w:next w:val="BodyText"/>
    <w:qFormat/>
    <w:rsid w:val="00604AFB"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9705B0"/>
    <w:pPr>
      <w:spacing w:after="80"/>
      <w:contextualSpacing/>
      <w:jc w:val="center"/>
    </w:pPr>
    <w:rPr>
      <w:rFonts w:ascii="Lora" w:cstheme="majorBidi" w:eastAsiaTheme="majorEastAsia" w:hAnsi="Lora"/>
      <w:spacing w:val="20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9705B0"/>
    <w:rPr>
      <w:rFonts w:ascii="Lora" w:cstheme="majorBidi" w:eastAsiaTheme="majorEastAsia" w:hAnsi="Lora"/>
      <w:spacing w:val="20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</w:style>
  <w:style w:customStyle="1" w:styleId="Heading1Char" w:type="character">
    <w:name w:val="Heading 1 Char"/>
    <w:basedOn w:val="DefaultParagraphFont"/>
    <w:link w:val="Heading1"/>
    <w:uiPriority w:val="9"/>
    <w:rsid w:val="009705B0"/>
    <w:rPr>
      <w:rFonts w:ascii="Lora" w:cstheme="majorBidi" w:eastAsiaTheme="majorEastAsia" w:hAnsi="Lora"/>
      <w:color w:themeColor="accent1" w:themeShade="BF" w:val="0F4761"/>
      <w:spacing w:val="20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9705B0"/>
    <w:rPr>
      <w:rFonts w:ascii="Lora" w:cstheme="majorBidi" w:eastAsiaTheme="majorEastAsia" w:hAnsi="Lora"/>
      <w:color w:themeColor="accent1" w:themeShade="BF" w:val="0F4761"/>
      <w:spacing w:val="20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9705B0"/>
    <w:rPr>
      <w:rFonts w:ascii="Lora" w:cstheme="majorBidi" w:eastAsiaTheme="majorEastAsia" w:hAnsi="Lora"/>
      <w:color w:themeColor="accent1" w:themeShade="BF" w:val="0F4761"/>
      <w:spacing w:val="10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</w:style>
  <w:style w:customStyle="1"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left="480" w:right="480"/>
    </w:pPr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</w:tblPr>
      <w:trPr>
        <w:jc w:val="left"/>
      </w:trPr>
      <w:tcPr>
        <w:tcBorders>
          <w:bottom w:color="auto" w:space="0" w:sz="0"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sid w:val="00432756"/>
    <w:rPr>
      <w:rFonts w:ascii="Montserrat" w:hAnsi="Montserrat"/>
      <w:color w:themeColor="accent1" w:val="156082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</w:rPr>
  </w:style>
  <w:style w:styleId="Header" w:type="paragraph">
    <w:name w:val="header"/>
    <w:basedOn w:val="Normal"/>
    <w:link w:val="HeaderChar"/>
    <w:rsid w:val="00096B19"/>
    <w:pPr>
      <w:tabs>
        <w:tab w:pos="4819" w:val="center"/>
        <w:tab w:pos="9638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096B19"/>
  </w:style>
  <w:style w:styleId="Footer" w:type="paragraph">
    <w:name w:val="footer"/>
    <w:basedOn w:val="Normal"/>
    <w:link w:val="FooterChar"/>
    <w:uiPriority w:val="99"/>
    <w:rsid w:val="00096B19"/>
    <w:pPr>
      <w:tabs>
        <w:tab w:pos="4819" w:val="center"/>
        <w:tab w:pos="9638" w:val="right"/>
      </w:tabs>
      <w:spacing w:after="0"/>
    </w:pPr>
    <w:rPr>
      <w:rFonts w:ascii="Montserrat" w:hAnsi="Montserrat"/>
      <w:color w:themeColor="background1" w:themeShade="80" w:val="808080"/>
      <w:sz w:val="20"/>
    </w:rPr>
  </w:style>
  <w:style w:customStyle="1" w:styleId="FooterChar" w:type="character">
    <w:name w:val="Footer Char"/>
    <w:basedOn w:val="DefaultParagraphFont"/>
    <w:link w:val="Footer"/>
    <w:uiPriority w:val="99"/>
    <w:rsid w:val="00096B19"/>
    <w:rPr>
      <w:rFonts w:ascii="Montserrat" w:hAnsi="Montserrat"/>
      <w:color w:themeColor="background1" w:themeShade="80" w:val="808080"/>
      <w:sz w:val="20"/>
    </w:rPr>
  </w:style>
  <w:style w:styleId="GridTable4-Accent4" w:type="table">
    <w:name w:val="Grid Table 4 Accent 4"/>
    <w:basedOn w:val="TableNormal"/>
    <w:uiPriority w:val="49"/>
    <w:rsid w:val="00E27197"/>
    <w:pPr>
      <w:spacing w:after="0"/>
    </w:pPr>
    <w:rPr>
      <w:sz w:val="20"/>
    </w:rPr>
    <w:tblPr>
      <w:tblStyleRowBandSize w:val="1"/>
      <w:tblStyleColBandSize w:val="1"/>
      <w:tblBorders>
        <w:top w:color="60CAF3" w:space="0" w:sz="4" w:themeColor="accent4" w:themeTint="99" w:val="single"/>
        <w:left w:color="60CAF3" w:space="0" w:sz="4" w:themeColor="accent4" w:themeTint="99" w:val="single"/>
        <w:bottom w:color="60CAF3" w:space="0" w:sz="4" w:themeColor="accent4" w:themeTint="99" w:val="single"/>
        <w:right w:color="60CAF3" w:space="0" w:sz="4" w:themeColor="accent4" w:themeTint="99" w:val="single"/>
        <w:insideH w:color="60CAF3" w:space="0" w:sz="4" w:themeColor="accent4" w:themeTint="99" w:val="single"/>
        <w:insideV w:color="60CAF3" w:space="0" w:sz="4" w:themeColor="accent4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9ED5" w:space="0" w:sz="4" w:themeColor="accent4" w:val="single"/>
          <w:left w:color="0F9ED5" w:space="0" w:sz="4" w:themeColor="accent4" w:val="single"/>
          <w:bottom w:color="0F9ED5" w:space="0" w:sz="4" w:themeColor="accent4" w:val="single"/>
          <w:right w:color="0F9ED5" w:space="0" w:sz="4" w:themeColor="accent4" w:val="single"/>
          <w:insideH w:val="nil"/>
          <w:insideV w:val="nil"/>
        </w:tcBorders>
        <w:shd w:color="auto" w:fill="0F9ED5" w:themeFill="accent4" w:val="clear"/>
      </w:tcPr>
    </w:tblStylePr>
    <w:tblStylePr w:type="lastRow">
      <w:rPr>
        <w:b/>
        <w:bCs/>
      </w:rPr>
      <w:tblPr/>
      <w:tcPr>
        <w:tcBorders>
          <w:top w:color="0F9ED5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AEDFB" w:themeFill="accent4" w:themeFillTint="33" w:val="clear"/>
      </w:tcPr>
    </w:tblStylePr>
    <w:tblStylePr w:type="band1Horz">
      <w:tblPr/>
      <w:tcPr>
        <w:shd w:color="auto" w:fill="CAEDFB" w:themeFill="accent4" w:themeFillTint="33" w:val="clear"/>
      </w:tcPr>
    </w:tblStylePr>
  </w:style>
  <w:style w:styleId="ListTable3-Accent1" w:type="table">
    <w:name w:val="List Table 3 Accent 1"/>
    <w:basedOn w:val="TableNormal"/>
    <w:uiPriority w:val="48"/>
    <w:rsid w:val="00E17B4B"/>
    <w:pPr>
      <w:spacing w:after="0"/>
    </w:pPr>
    <w:rPr>
      <w:rFonts w:ascii="Calibri" w:hAnsi="Calibri"/>
      <w:kern w:val="2"/>
      <w:sz w:val="20"/>
    </w:rPr>
    <w:tblPr>
      <w:tblStyleRowBandSize w:val="1"/>
      <w:tblStyleColBandSize w:val="1"/>
      <w:tblBorders>
        <w:top w:color="156082" w:space="0" w:sz="4" w:themeColor="accent1" w:val="single"/>
        <w:left w:color="156082" w:space="0" w:sz="4" w:themeColor="accent1" w:val="single"/>
        <w:bottom w:color="156082" w:space="0" w:sz="4" w:themeColor="accent1" w:val="single"/>
        <w:right w:color="156082" w:space="0" w:sz="4" w:themeColor="accent1" w:val="single"/>
      </w:tblBorders>
    </w:tblPr>
    <w:trPr>
      <w:cantSplit/>
    </w:trPr>
    <w:tblStylePr w:type="firstRow">
      <w:rPr>
        <w:b/>
        <w:bCs/>
        <w:color w:themeColor="background1" w:val="FFFFFF"/>
      </w:rPr>
      <w:tblPr/>
      <w:trPr>
        <w:tblHeader/>
      </w:trPr>
      <w:tcPr>
        <w:shd w:color="auto" w:fill="156082" w:themeFill="accent1" w:val="clear"/>
      </w:tcPr>
    </w:tblStylePr>
    <w:tblStylePr w:type="lastRow">
      <w:rPr>
        <w:b/>
        <w:bCs/>
      </w:rPr>
      <w:tblPr/>
      <w:tcPr>
        <w:tcBorders>
          <w:top w:color="156082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156082" w:space="0" w:sz="4" w:themeColor="accent1" w:val="single"/>
          <w:right w:color="156082" w:space="0" w:sz="4" w:themeColor="accent1" w:val="single"/>
        </w:tcBorders>
      </w:tcPr>
    </w:tblStylePr>
    <w:tblStylePr w:type="band1Horz">
      <w:tblPr/>
      <w:tcPr>
        <w:tcBorders>
          <w:top w:color="156082" w:space="0" w:sz="4" w:themeColor="accent1" w:val="single"/>
          <w:bottom w:color="156082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156082" w:space="0" w:sz="4" w:themeColor="accent1" w:val="double"/>
          <w:left w:val="nil"/>
        </w:tcBorders>
      </w:tcPr>
    </w:tblStylePr>
    <w:tblStylePr w:type="swCell">
      <w:tblPr/>
      <w:tcPr>
        <w:tcBorders>
          <w:top w:color="156082" w:space="0" w:sz="4" w:themeColor="accent1" w:val="double"/>
          <w:right w:val="nil"/>
        </w:tcBorders>
      </w:tcPr>
    </w:tblStyle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header3.xml" Type="http://schemas.openxmlformats.org/officeDocument/2006/relationships/header" /><Relationship Id="rId11" Target="header2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55" Target="media/rId55.png" /><Relationship Type="http://schemas.openxmlformats.org/officeDocument/2006/relationships/image" Id="rId20" Target="media/rId20.png" /><Relationship Type="http://schemas.openxmlformats.org/officeDocument/2006/relationships/hyperlink" Id="rId48" Target="https://eur-lex.europa.eu/legal-content/IT/TXT/?uri=CELEX:32024L1385" TargetMode="External" /><Relationship Type="http://schemas.openxmlformats.org/officeDocument/2006/relationships/hyperlink" Id="rId49" Target="https://eur-lex.europa.eu/legal-content/IT/TXT/?uri=CELEX:32024L1385#d1e3942-1-1" TargetMode="External" /><Relationship Type="http://schemas.openxmlformats.org/officeDocument/2006/relationships/hyperlink" Id="rId50" Target="https://eur-lex.europa.eu/legal-content/IT/TXT/?uri=CELEX:32024L1385#d1e4167-1-1" TargetMode="External" /><Relationship Type="http://schemas.openxmlformats.org/officeDocument/2006/relationships/hyperlink" Id="rId23" Target="https://ondata.github.io/normattiva_2_md/" TargetMode="External" /><Relationship Type="http://schemas.openxmlformats.org/officeDocument/2006/relationships/hyperlink" Id="rId62" Target="https://www.normattiva.it/uri-res/N2Ls?urn:nir:stato:decreto.legislativo:1988-10-28;447~art316" TargetMode="External" /><Relationship Type="http://schemas.openxmlformats.org/officeDocument/2006/relationships/hyperlink" Id="rId61" Target="https://www.normattiva.it/uri-res/N2Ls?urn:nir:stato:decreto.legislativo:1988-10-28;447~art362" TargetMode="External" /><Relationship Type="http://schemas.openxmlformats.org/officeDocument/2006/relationships/hyperlink" Id="rId40" Target="https://www.normattiva.it/uri-res/N2Ls?urn:nir:stato:legge:2016-07-07;122" TargetMode="External" /><Relationship Type="http://schemas.openxmlformats.org/officeDocument/2006/relationships/hyperlink" Id="rId25" Target="https://www.normattiva.it/uri-res/N2Ls?urn:nir:stato:legge:2022-05-05;53" TargetMode="External" /><Relationship Type="http://schemas.openxmlformats.org/officeDocument/2006/relationships/hyperlink" Id="rId39" Target="https://www.normattiva.it/uri-res/N2Ls?urn:nir:stato:legge:2022-05-05;53~art2" TargetMode="External" /><Relationship Type="http://schemas.openxmlformats.org/officeDocument/2006/relationships/hyperlink" Id="rId53" Target="https://www.normattiva.it/uri-res/N2Ls?urn:nir:stato:legge:2022-05-05;53~art4" TargetMode="External" /><Relationship Type="http://schemas.openxmlformats.org/officeDocument/2006/relationships/hyperlink" Id="rId26" Target="https://www.normattiva.it/uri-res/N2Ls?urn:nir:stato:legge:2022-05-05;53~art5" TargetMode="External" /><Relationship Type="http://schemas.openxmlformats.org/officeDocument/2006/relationships/hyperlink" Id="rId28" Target="https://www.normattiva.it/uri-res/N2Ls?urn:nir:stato:legge:2025-12-02;181!vig=2025-12-26" TargetMode="External" /><Relationship Type="http://schemas.openxmlformats.org/officeDocument/2006/relationships/hyperlink" Id="rId29" Target="https://www.normattiva.it/uri-res/N2Ls?urn:nir:stato:legge:2025-12-02;181~art1!vig=2025-12-26" TargetMode="External" /><Relationship Type="http://schemas.openxmlformats.org/officeDocument/2006/relationships/hyperlink" Id="rId30" Target="https://www.normattiva.it/uri-res/N2Ls?urn:nir:stato:legge:2025-12-02;181~art13!vig=2025-12-26" TargetMode="External" /><Relationship Type="http://schemas.openxmlformats.org/officeDocument/2006/relationships/hyperlink" Id="rId31" Target="https://www.normattiva.it/uri-res/N2Ls?urn:nir:stato:legge:2025-12-02;181~art2!vig=2025-12-26" TargetMode="External" /><Relationship Type="http://schemas.openxmlformats.org/officeDocument/2006/relationships/hyperlink" Id="rId32" Target="https://www.normattiva.it/uri-res/N2Ls?urn:nir:stato:legge:2025-12-02;181~art3!vig=2025-12-26" TargetMode="External" /><Relationship Type="http://schemas.openxmlformats.org/officeDocument/2006/relationships/hyperlink" Id="rId41" Target="https://www.normattiva.it/uri-res/N2Ls?urn:nir:stato:legge:2025-12-02;181~art4!vig=2025-12-26" TargetMode="External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eur-lex.europa.eu/legal-content/IT/TXT/?uri=CELEX:32024L1385" TargetMode="External" /><Relationship Type="http://schemas.openxmlformats.org/officeDocument/2006/relationships/hyperlink" Id="rId49" Target="https://eur-lex.europa.eu/legal-content/IT/TXT/?uri=CELEX:32024L1385#d1e3942-1-1" TargetMode="External" /><Relationship Type="http://schemas.openxmlformats.org/officeDocument/2006/relationships/hyperlink" Id="rId50" Target="https://eur-lex.europa.eu/legal-content/IT/TXT/?uri=CELEX:32024L1385#d1e4167-1-1" TargetMode="External" /><Relationship Type="http://schemas.openxmlformats.org/officeDocument/2006/relationships/hyperlink" Id="rId23" Target="https://ondata.github.io/normattiva_2_md/" TargetMode="External" /><Relationship Type="http://schemas.openxmlformats.org/officeDocument/2006/relationships/hyperlink" Id="rId62" Target="https://www.normattiva.it/uri-res/N2Ls?urn:nir:stato:decreto.legislativo:1988-10-28;447~art316" TargetMode="External" /><Relationship Type="http://schemas.openxmlformats.org/officeDocument/2006/relationships/hyperlink" Id="rId61" Target="https://www.normattiva.it/uri-res/N2Ls?urn:nir:stato:decreto.legislativo:1988-10-28;447~art362" TargetMode="External" /><Relationship Type="http://schemas.openxmlformats.org/officeDocument/2006/relationships/hyperlink" Id="rId40" Target="https://www.normattiva.it/uri-res/N2Ls?urn:nir:stato:legge:2016-07-07;122" TargetMode="External" /><Relationship Type="http://schemas.openxmlformats.org/officeDocument/2006/relationships/hyperlink" Id="rId25" Target="https://www.normattiva.it/uri-res/N2Ls?urn:nir:stato:legge:2022-05-05;53" TargetMode="External" /><Relationship Type="http://schemas.openxmlformats.org/officeDocument/2006/relationships/hyperlink" Id="rId39" Target="https://www.normattiva.it/uri-res/N2Ls?urn:nir:stato:legge:2022-05-05;53~art2" TargetMode="External" /><Relationship Type="http://schemas.openxmlformats.org/officeDocument/2006/relationships/hyperlink" Id="rId53" Target="https://www.normattiva.it/uri-res/N2Ls?urn:nir:stato:legge:2022-05-05;53~art4" TargetMode="External" /><Relationship Type="http://schemas.openxmlformats.org/officeDocument/2006/relationships/hyperlink" Id="rId26" Target="https://www.normattiva.it/uri-res/N2Ls?urn:nir:stato:legge:2022-05-05;53~art5" TargetMode="External" /><Relationship Type="http://schemas.openxmlformats.org/officeDocument/2006/relationships/hyperlink" Id="rId28" Target="https://www.normattiva.it/uri-res/N2Ls?urn:nir:stato:legge:2025-12-02;181!vig=2025-12-26" TargetMode="External" /><Relationship Type="http://schemas.openxmlformats.org/officeDocument/2006/relationships/hyperlink" Id="rId29" Target="https://www.normattiva.it/uri-res/N2Ls?urn:nir:stato:legge:2025-12-02;181~art1!vig=2025-12-26" TargetMode="External" /><Relationship Type="http://schemas.openxmlformats.org/officeDocument/2006/relationships/hyperlink" Id="rId30" Target="https://www.normattiva.it/uri-res/N2Ls?urn:nir:stato:legge:2025-12-02;181~art13!vig=2025-12-26" TargetMode="External" /><Relationship Type="http://schemas.openxmlformats.org/officeDocument/2006/relationships/hyperlink" Id="rId31" Target="https://www.normattiva.it/uri-res/N2Ls?urn:nir:stato:legge:2025-12-02;181~art2!vig=2025-12-26" TargetMode="External" /><Relationship Type="http://schemas.openxmlformats.org/officeDocument/2006/relationships/hyperlink" Id="rId32" Target="https://www.normattiva.it/uri-res/N2Ls?urn:nir:stato:legge:2025-12-02;181~art3!vig=2025-12-26" TargetMode="External" /><Relationship Type="http://schemas.openxmlformats.org/officeDocument/2006/relationships/hyperlink" Id="rId41" Target="https://www.normattiva.it/uri-res/N2Ls?urn:nir:stato:legge:2025-12-02;181~art4!vig=2025-12-26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Schema Dati sulla Violenza di Genere</dc:title>
  <dc:creator/>
  <dc:language>it</dc:language>
  <cp:keywords/>
  <dcterms:created xsi:type="dcterms:W3CDTF">2026-01-07T15:43:18Z</dcterms:created>
  <dcterms:modified xsi:type="dcterms:W3CDTF">2026-01-07T15:43:18Z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comments">
    <vt:lpwstr/>
  </property>
  <property fmtid="{D5CDD505-2E9C-101B-9397-08002B2CF9AE}" pid="4" name="header-includes">
    <vt:lpwstr/>
  </property>
  <property fmtid="{D5CDD505-2E9C-101B-9397-08002B2CF9AE}" pid="5" name="include-after">
    <vt:lpwstr/>
  </property>
  <property fmtid="{D5CDD505-2E9C-101B-9397-08002B2CF9AE}" pid="6" name="include-before">
    <vt:lpwstr/>
  </property>
  <property fmtid="{D5CDD505-2E9C-101B-9397-08002B2CF9AE}" pid="7" name="labels">
    <vt:lpwstr/>
  </property>
  <property fmtid="{D5CDD505-2E9C-101B-9397-08002B2CF9AE}" pid="8" name="mainfont">
    <vt:lpwstr>Montserrat</vt:lpwstr>
  </property>
  <property fmtid="{D5CDD505-2E9C-101B-9397-08002B2CF9AE}" pid="9" name="subtitle">
    <vt:lpwstr>Basata sulla Legge 53 del 5 maggio 2022</vt:lpwstr>
  </property>
  <property fmtid="{D5CDD505-2E9C-101B-9397-08002B2CF9AE}" pid="10" name="toc-title">
    <vt:lpwstr>Indice</vt:lpwstr>
  </property>
</Properties>
</file>