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4000"/>
      </w:pPr>
    </w:p>
    <w:p>
      <w:pPr>
        <w:spacing w:after="200"/>
        <w:jc w:val="center"/>
      </w:pPr>
      <w:r>
        <w:rPr>
          <w:rFonts w:ascii="Arial" w:cs="Arial" w:eastAsia="Arial" w:hAnsi="Arial"/>
          <w:b/>
          <w:bCs/>
          <w:color w:val="1B2A4A"/>
          <w:sz w:val="56"/>
          <w:szCs w:val="56"/>
        </w:rPr>
        <w:t xml:space="preserve">LDK</w:t>
      </w:r>
    </w:p>
    <w:p>
      <w:pPr>
        <w:spacing w:after="100"/>
        <w:jc w:val="center"/>
      </w:pPr>
      <w:r>
        <w:rPr>
          <w:rFonts w:ascii="Arial" w:cs="Arial" w:eastAsia="Arial" w:hAnsi="Arial"/>
          <w:color w:val="2C3E6B"/>
          <w:sz w:val="36"/>
          <w:szCs w:val="36"/>
        </w:rPr>
        <w:t xml:space="preserve">Local Development Kit</w:t>
      </w:r>
    </w:p>
    <w:p>
      <w:pPr>
        <w:spacing w:after="600"/>
        <w:jc w:val="center"/>
      </w:pPr>
      <w:r>
        <w:rPr>
          <w:rFonts w:ascii="Arial" w:cs="Arial" w:eastAsia="Arial" w:hAnsi="Arial"/>
          <w:color w:val="666666"/>
          <w:sz w:val="28"/>
          <w:szCs w:val="28"/>
        </w:rPr>
        <w:t xml:space="preserve">Project Plan</w:t>
      </w:r>
    </w:p>
    <w:p>
      <w:pPr>
        <w:spacing w:after="100"/>
        <w:jc w:val="center"/>
      </w:pPr>
      <w:r>
        <w:rPr>
          <w:rFonts w:ascii="Arial" w:cs="Arial" w:eastAsia="Arial" w:hAnsi="Arial"/>
          <w:color w:val="999999"/>
          <w:sz w:val="24"/>
          <w:szCs w:val="24"/>
        </w:rPr>
        <w:t xml:space="preserve">Version 1.0 — February 2026</w:t>
      </w:r>
    </w:p>
    <w:p>
      <w:r>
        <w:br w:type="page"/>
      </w:r>
    </w:p>
    <w:p>
      <w:pPr>
        <w:sectPr>
          <w:pgSz w:w="12240" w:h="15840" w:orient="portrait"/>
          <w:pgMar w:top="1440" w:right="1440" w:bottom="1440" w:left="1440" w:header="708" w:footer="708" w:gutter="0"/>
          <w:pgNumType/>
          <w:docGrid w:linePitch="360"/>
        </w:sectPr>
      </w:pPr>
    </w:p>
    <w:p>
      <w:pPr>
        <w:pStyle w:val="Heading1"/>
      </w:pPr>
      <w:r>
        <w:t xml:space="preserve">Project Overview</w:t>
      </w:r>
    </w:p>
    <w:p>
      <w:pPr>
        <w:spacing w:after="200"/>
      </w:pPr>
      <w:r>
        <w:rPr>
          <w:rFonts w:ascii="Arial" w:cs="Arial" w:eastAsia="Arial" w:hAnsi="Arial"/>
          <w:sz w:val="24"/>
          <w:szCs w:val="24"/>
        </w:rPr>
        <w:t xml:space="preserve">This document outlines the project plan for building LDK from initial proof of concept through public release. The plan is structured in five phases, each delivering a usable increment of functionality. The approach prioritizes getting a working tool into developers’ hands early and iterating based on real usage.</w:t>
      </w:r>
    </w:p>
    <w:p>
      <w:pPr>
        <w:pStyle w:val="Heading2"/>
      </w:pPr>
      <w:r>
        <w:t xml:space="preserve">Technology Choices</w:t>
      </w:r>
    </w:p>
    <w:p>
      <w:pPr>
        <w:spacing w:after="200"/>
      </w:pPr>
      <w:r>
        <w:rPr>
          <w:rFonts w:ascii="Arial" w:cs="Arial" w:eastAsia="Arial" w:hAnsi="Arial"/>
          <w:b/>
          <w:bCs/>
          <w:sz w:val="24"/>
          <w:szCs w:val="24"/>
        </w:rPr>
        <w:t xml:space="preserve">Language: TypeScript. </w:t>
      </w:r>
      <w:r>
        <w:rPr>
          <w:rFonts w:ascii="Arial" w:cs="Arial" w:eastAsia="Arial" w:hAnsi="Arial"/>
          <w:sz w:val="24"/>
          <w:szCs w:val="24"/>
        </w:rPr>
        <w:t xml:space="preserve">The LDK CLI and core runtime will be written in TypeScript. This aligns with the CDK ecosystem (the majority of CDK users write in TypeScript), enables code sharing with the cloud assembly parsing layer, and allows LDK to run handler functions in the same process for Node.js-based Lambdas. TypeScript also provides the type safety needed for reliable construct parsing and graph construction.</w:t>
      </w:r>
    </w:p>
    <w:p>
      <w:pPr>
        <w:spacing w:after="200"/>
      </w:pPr>
      <w:r>
        <w:rPr>
          <w:rFonts w:ascii="Arial" w:cs="Arial" w:eastAsia="Arial" w:hAnsi="Arial"/>
          <w:b/>
          <w:bCs/>
          <w:sz w:val="24"/>
          <w:szCs w:val="24"/>
        </w:rPr>
        <w:t xml:space="preserve">Build tool: tsup or esbuild </w:t>
      </w:r>
      <w:r>
        <w:rPr>
          <w:rFonts w:ascii="Arial" w:cs="Arial" w:eastAsia="Arial" w:hAnsi="Arial"/>
          <w:sz w:val="24"/>
          <w:szCs w:val="24"/>
        </w:rPr>
        <w:t xml:space="preserve">for fast compilation of the CLI and runtime. The CLI should be distributable as a single binary via pkg or similar, with no runtime dependencies beyond Node.js.</w:t>
      </w:r>
    </w:p>
    <w:p>
      <w:pPr>
        <w:spacing w:after="200"/>
      </w:pPr>
      <w:r>
        <w:rPr>
          <w:rFonts w:ascii="Arial" w:cs="Arial" w:eastAsia="Arial" w:hAnsi="Arial"/>
          <w:b/>
          <w:bCs/>
          <w:sz w:val="24"/>
          <w:szCs w:val="24"/>
        </w:rPr>
        <w:t xml:space="preserve">Local HTTP server: Fastify. </w:t>
      </w:r>
      <w:r>
        <w:rPr>
          <w:rFonts w:ascii="Arial" w:cs="Arial" w:eastAsia="Arial" w:hAnsi="Arial"/>
          <w:sz w:val="24"/>
          <w:szCs w:val="24"/>
        </w:rPr>
        <w:t xml:space="preserve">Lightweight, fast, and plugin-friendly. Used to implement the local API Gateway equivalent.</w:t>
      </w:r>
    </w:p>
    <w:p>
      <w:pPr>
        <w:spacing w:after="200"/>
      </w:pPr>
      <w:r>
        <w:rPr>
          <w:rFonts w:ascii="Arial" w:cs="Arial" w:eastAsia="Arial" w:hAnsi="Arial"/>
          <w:b/>
          <w:bCs/>
          <w:sz w:val="24"/>
          <w:szCs w:val="24"/>
        </w:rPr>
        <w:t xml:space="preserve">Local DynamoDB: better-sqlite3 </w:t>
      </w:r>
      <w:r>
        <w:rPr>
          <w:rFonts w:ascii="Arial" w:cs="Arial" w:eastAsia="Arial" w:hAnsi="Arial"/>
          <w:sz w:val="24"/>
          <w:szCs w:val="24"/>
        </w:rPr>
        <w:t xml:space="preserve">with a DynamoDB-compatible query layer. SQLite is zero-config, fast, and file-based for persistence. The query layer translates DynamoDB operations (GetItem, PutItem, Query, Scan) into SQL.</w:t>
      </w:r>
    </w:p>
    <w:p>
      <w:pPr>
        <w:spacing w:after="200"/>
      </w:pPr>
      <w:r>
        <w:rPr>
          <w:rFonts w:ascii="Arial" w:cs="Arial" w:eastAsia="Arial" w:hAnsi="Arial"/>
          <w:b/>
          <w:bCs/>
          <w:sz w:val="24"/>
          <w:szCs w:val="24"/>
        </w:rPr>
        <w:t xml:space="preserve">Local queues: In-memory implementation </w:t>
      </w:r>
      <w:r>
        <w:rPr>
          <w:rFonts w:ascii="Arial" w:cs="Arial" w:eastAsia="Arial" w:hAnsi="Arial"/>
          <w:sz w:val="24"/>
          <w:szCs w:val="24"/>
        </w:rPr>
        <w:t xml:space="preserve">with BullMQ as an optional upgrade for persistence. The default should be zero-dependency.</w:t>
      </w:r>
    </w:p>
    <w:p>
      <w:pPr>
        <w:spacing w:after="200"/>
      </w:pPr>
      <w:r>
        <w:rPr>
          <w:rFonts w:ascii="Arial" w:cs="Arial" w:eastAsia="Arial" w:hAnsi="Arial"/>
          <w:b/>
          <w:bCs/>
          <w:sz w:val="24"/>
          <w:szCs w:val="24"/>
        </w:rPr>
        <w:t xml:space="preserve">File watching: chokidar </w:t>
      </w:r>
      <w:r>
        <w:rPr>
          <w:rFonts w:ascii="Arial" w:cs="Arial" w:eastAsia="Arial" w:hAnsi="Arial"/>
          <w:sz w:val="24"/>
          <w:szCs w:val="24"/>
        </w:rPr>
        <w:t xml:space="preserve">for cross-platform file system watching with debouncing.</w:t>
      </w:r>
    </w:p>
    <w:p>
      <w:pPr>
        <w:spacing w:after="200"/>
      </w:pPr>
      <w:r>
        <w:rPr>
          <w:rFonts w:ascii="Arial" w:cs="Arial" w:eastAsia="Arial" w:hAnsi="Arial"/>
          <w:b/>
          <w:bCs/>
          <w:sz w:val="24"/>
          <w:szCs w:val="24"/>
        </w:rPr>
        <w:t xml:space="preserve">Testing: vitest </w:t>
      </w:r>
      <w:r>
        <w:rPr>
          <w:rFonts w:ascii="Arial" w:cs="Arial" w:eastAsia="Arial" w:hAnsi="Arial"/>
          <w:sz w:val="24"/>
          <w:szCs w:val="24"/>
        </w:rPr>
        <w:t xml:space="preserve">for the LDK codebase itself. Fast, TypeScript-native, good watch mode.</w:t>
      </w:r>
    </w:p>
    <w:p>
      <w:pPr>
        <w:spacing w:after="200"/>
      </w:pPr>
      <w:r>
        <w:rPr>
          <w:rFonts w:ascii="Arial" w:cs="Arial" w:eastAsia="Arial" w:hAnsi="Arial"/>
          <w:b/>
          <w:bCs/>
          <w:sz w:val="24"/>
          <w:szCs w:val="24"/>
        </w:rPr>
        <w:t xml:space="preserve">Package manager: pnpm </w:t>
      </w:r>
      <w:r>
        <w:rPr>
          <w:rFonts w:ascii="Arial" w:cs="Arial" w:eastAsia="Arial" w:hAnsi="Arial"/>
          <w:sz w:val="24"/>
          <w:szCs w:val="24"/>
        </w:rPr>
        <w:t xml:space="preserve">with a monorepo structure for separating core, providers, and CLI.</w:t>
      </w:r>
    </w:p>
    <w:p>
      <w:pPr>
        <w:pStyle w:val="Heading2"/>
      </w:pPr>
      <w:r>
        <w:t xml:space="preserve">Repository Structure</w:t>
      </w:r>
    </w:p>
    <w:p>
      <w:pPr>
        <w:spacing w:before="120"/>
      </w:pPr>
    </w:p>
    <w:p>
      <w:pPr>
        <w:shd w:fill="F5F5F5" w:val="clear"/>
        <w:spacing w:after="0" w:line="300"/>
        <w:ind w:left="360" w:right="360"/>
      </w:pPr>
      <w:r>
        <w:rPr>
          <w:rFonts w:ascii="Courier New" w:cs="Courier New" w:eastAsia="Courier New" w:hAnsi="Courier New"/>
          <w:color w:val="333333"/>
          <w:sz w:val="20"/>
          <w:szCs w:val="20"/>
        </w:rPr>
        <w:t xml:space="preserve">ldk/</w:t>
      </w:r>
    </w:p>
    <w:p>
      <w:pPr>
        <w:shd w:fill="F5F5F5" w:val="clear"/>
        <w:spacing w:after="0" w:line="300"/>
        <w:ind w:left="360" w:right="360"/>
      </w:pPr>
      <w:r>
        <w:rPr>
          <w:rFonts w:ascii="Courier New" w:cs="Courier New" w:eastAsia="Courier New" w:hAnsi="Courier New"/>
          <w:color w:val="333333"/>
          <w:sz w:val="20"/>
          <w:szCs w:val="20"/>
        </w:rPr>
        <w:t xml:space="preserve">├── packages/</w:t>
      </w:r>
    </w:p>
    <w:p>
      <w:pPr>
        <w:shd w:fill="F5F5F5" w:val="clear"/>
        <w:spacing w:after="0" w:line="300"/>
        <w:ind w:left="360" w:right="360"/>
      </w:pPr>
      <w:r>
        <w:rPr>
          <w:rFonts w:ascii="Courier New" w:cs="Courier New" w:eastAsia="Courier New" w:hAnsi="Courier New"/>
          <w:color w:val="333333"/>
          <w:sz w:val="20"/>
          <w:szCs w:val="20"/>
        </w:rPr>
        <w:t xml:space="preserve">│   ├── cli/               # CLI entry point (ldk dev, ldk invoke, etc.)</w:t>
      </w:r>
    </w:p>
    <w:p>
      <w:pPr>
        <w:shd w:fill="F5F5F5" w:val="clear"/>
        <w:spacing w:after="0" w:line="300"/>
        <w:ind w:left="360" w:right="360"/>
      </w:pPr>
      <w:r>
        <w:rPr>
          <w:rFonts w:ascii="Courier New" w:cs="Courier New" w:eastAsia="Courier New" w:hAnsi="Courier New"/>
          <w:color w:val="333333"/>
          <w:sz w:val="20"/>
          <w:szCs w:val="20"/>
        </w:rPr>
        <w:t xml:space="preserve">│   ├── core/              # Cloud assembly parser, app graph engine</w:t>
      </w:r>
    </w:p>
    <w:p>
      <w:pPr>
        <w:shd w:fill="F5F5F5" w:val="clear"/>
        <w:spacing w:after="0" w:line="300"/>
        <w:ind w:left="360" w:right="360"/>
      </w:pPr>
      <w:r>
        <w:rPr>
          <w:rFonts w:ascii="Courier New" w:cs="Courier New" w:eastAsia="Courier New" w:hAnsi="Courier New"/>
          <w:color w:val="333333"/>
          <w:sz w:val="20"/>
          <w:szCs w:val="20"/>
        </w:rPr>
        <w:t xml:space="preserve">│   ├── runtime/           # Execution envelopes (Lambda, ECS, etc.)</w:t>
      </w:r>
    </w:p>
    <w:p>
      <w:pPr>
        <w:shd w:fill="F5F5F5" w:val="clear"/>
        <w:spacing w:after="0" w:line="300"/>
        <w:ind w:left="360" w:right="360"/>
      </w:pPr>
      <w:r>
        <w:rPr>
          <w:rFonts w:ascii="Courier New" w:cs="Courier New" w:eastAsia="Courier New" w:hAnsi="Courier New"/>
          <w:color w:val="333333"/>
          <w:sz w:val="20"/>
          <w:szCs w:val="20"/>
        </w:rPr>
        <w:t xml:space="preserve">│   ├── interfaces/        # Abstract provider interfaces (IQueue, IStore, etc.)</w:t>
      </w:r>
    </w:p>
    <w:p>
      <w:pPr>
        <w:shd w:fill="F5F5F5" w:val="clear"/>
        <w:spacing w:after="0" w:line="300"/>
        <w:ind w:left="360" w:right="360"/>
      </w:pPr>
      <w:r>
        <w:rPr>
          <w:rFonts w:ascii="Courier New" w:cs="Courier New" w:eastAsia="Courier New" w:hAnsi="Courier New"/>
          <w:color w:val="333333"/>
          <w:sz w:val="20"/>
          <w:szCs w:val="20"/>
        </w:rPr>
        <w:t xml:space="preserve">│   ├── providers/</w:t>
      </w:r>
    </w:p>
    <w:p>
      <w:pPr>
        <w:shd w:fill="F5F5F5" w:val="clear"/>
        <w:spacing w:after="0" w:line="300"/>
        <w:ind w:left="360" w:right="360"/>
      </w:pPr>
      <w:r>
        <w:rPr>
          <w:rFonts w:ascii="Courier New" w:cs="Courier New" w:eastAsia="Courier New" w:hAnsi="Courier New"/>
          <w:color w:val="333333"/>
          <w:sz w:val="20"/>
          <w:szCs w:val="20"/>
        </w:rPr>
        <w:t xml:space="preserve">│   │   ├── dynamodb-sqlite/  # SQLite-based DynamoDB (local dev)</w:t>
      </w:r>
    </w:p>
    <w:p>
      <w:pPr>
        <w:shd w:fill="F5F5F5" w:val="clear"/>
        <w:spacing w:after="0" w:line="300"/>
        <w:ind w:left="360" w:right="360"/>
      </w:pPr>
      <w:r>
        <w:rPr>
          <w:rFonts w:ascii="Courier New" w:cs="Courier New" w:eastAsia="Courier New" w:hAnsi="Courier New"/>
          <w:color w:val="333333"/>
          <w:sz w:val="20"/>
          <w:szCs w:val="20"/>
        </w:rPr>
        <w:t xml:space="preserve">│   │   ├── sqs-memory/       # In-memory SQS (local dev)</w:t>
      </w:r>
    </w:p>
    <w:p>
      <w:pPr>
        <w:shd w:fill="F5F5F5" w:val="clear"/>
        <w:spacing w:after="0" w:line="300"/>
        <w:ind w:left="360" w:right="360"/>
      </w:pPr>
      <w:r>
        <w:rPr>
          <w:rFonts w:ascii="Courier New" w:cs="Courier New" w:eastAsia="Courier New" w:hAnsi="Courier New"/>
          <w:color w:val="333333"/>
          <w:sz w:val="20"/>
          <w:szCs w:val="20"/>
        </w:rPr>
        <w:t xml:space="preserve">│   │   ├── s3-filesystem/    # Filesystem-based S3 (local dev)</w:t>
      </w:r>
    </w:p>
    <w:p>
      <w:pPr>
        <w:shd w:fill="F5F5F5" w:val="clear"/>
        <w:spacing w:after="0" w:line="300"/>
        <w:ind w:left="360" w:right="360"/>
      </w:pPr>
      <w:r>
        <w:rPr>
          <w:rFonts w:ascii="Courier New" w:cs="Courier New" w:eastAsia="Courier New" w:hAnsi="Courier New"/>
          <w:color w:val="333333"/>
          <w:sz w:val="20"/>
          <w:szCs w:val="20"/>
        </w:rPr>
        <w:t xml:space="preserve">│   │   ├── sns-memory/       # Local pub/sub SNS (local dev)</w:t>
      </w:r>
    </w:p>
    <w:p>
      <w:pPr>
        <w:shd w:fill="F5F5F5" w:val="clear"/>
        <w:spacing w:after="0" w:line="300"/>
        <w:ind w:left="360" w:right="360"/>
      </w:pPr>
      <w:r>
        <w:rPr>
          <w:rFonts w:ascii="Courier New" w:cs="Courier New" w:eastAsia="Courier New" w:hAnsi="Courier New"/>
          <w:color w:val="333333"/>
          <w:sz w:val="20"/>
          <w:szCs w:val="20"/>
        </w:rPr>
        <w:t xml:space="preserve">│   │   ├── eventbridge-memory/ # Local event bus (local dev)</w:t>
      </w:r>
    </w:p>
    <w:p>
      <w:pPr>
        <w:shd w:fill="F5F5F5" w:val="clear"/>
        <w:spacing w:after="0" w:line="300"/>
        <w:ind w:left="360" w:right="360"/>
      </w:pPr>
      <w:r>
        <w:rPr>
          <w:rFonts w:ascii="Courier New" w:cs="Courier New" w:eastAsia="Courier New" w:hAnsi="Courier New"/>
          <w:color w:val="333333"/>
          <w:sz w:val="20"/>
          <w:szCs w:val="20"/>
        </w:rPr>
        <w:t xml:space="preserve">│   │   └── stepfunctions-local/ # Local state machine (local dev)</w:t>
      </w:r>
    </w:p>
    <w:p>
      <w:pPr>
        <w:shd w:fill="F5F5F5" w:val="clear"/>
        <w:spacing w:after="0" w:line="300"/>
        <w:ind w:left="360" w:right="360"/>
      </w:pPr>
      <w:r>
        <w:rPr>
          <w:rFonts w:ascii="Courier New" w:cs="Courier New" w:eastAsia="Courier New" w:hAnsi="Courier New"/>
          <w:color w:val="333333"/>
          <w:sz w:val="20"/>
          <w:szCs w:val="20"/>
        </w:rPr>
        <w:t xml:space="preserve">│   └── test-apps/         # CDK test applications for integration tests</w:t>
      </w:r>
    </w:p>
    <w:p>
      <w:pPr>
        <w:shd w:fill="F5F5F5" w:val="clear"/>
        <w:spacing w:after="0" w:line="300"/>
        <w:ind w:left="360" w:right="360"/>
      </w:pPr>
      <w:r>
        <w:rPr>
          <w:rFonts w:ascii="Courier New" w:cs="Courier New" w:eastAsia="Courier New" w:hAnsi="Courier New"/>
          <w:color w:val="333333"/>
          <w:sz w:val="20"/>
          <w:szCs w:val="20"/>
        </w:rPr>
        <w:t xml:space="preserve">├── docs/</w:t>
      </w:r>
    </w:p>
    <w:p>
      <w:pPr>
        <w:shd w:fill="F5F5F5" w:val="clear"/>
        <w:spacing w:after="0" w:line="300"/>
        <w:ind w:left="360" w:right="360"/>
      </w:pPr>
      <w:r>
        <w:rPr>
          <w:rFonts w:ascii="Courier New" w:cs="Courier New" w:eastAsia="Courier New" w:hAnsi="Courier New"/>
          <w:color w:val="333333"/>
          <w:sz w:val="20"/>
          <w:szCs w:val="20"/>
        </w:rPr>
        <w:t xml:space="preserve">├── examples/</w:t>
      </w:r>
    </w:p>
    <w:p>
      <w:pPr>
        <w:shd w:fill="F5F5F5" w:val="clear"/>
        <w:spacing w:after="0" w:line="300"/>
        <w:ind w:left="360" w:right="360"/>
      </w:pPr>
      <w:r>
        <w:rPr>
          <w:rFonts w:ascii="Courier New" w:cs="Courier New" w:eastAsia="Courier New" w:hAnsi="Courier New"/>
          <w:color w:val="333333"/>
          <w:sz w:val="20"/>
          <w:szCs w:val="20"/>
        </w:rPr>
        <w:t xml:space="preserve">└── pnpm-workspace.yaml</w:t>
      </w:r>
    </w:p>
    <w:p>
      <w:pPr>
        <w:spacing w:after="200"/>
      </w:pPr>
    </w:p>
    <w:p>
      <w:pPr>
        <w:spacing w:after="200"/>
      </w:pPr>
      <w:r>
        <w:rPr>
          <w:rFonts w:ascii="Arial" w:cs="Arial" w:eastAsia="Arial" w:hAnsi="Arial"/>
          <w:sz w:val="24"/>
          <w:szCs w:val="24"/>
        </w:rPr>
        <w:t xml:space="preserve">The packages/interfaces package is architecturally critical. It defines the abstract capability interfaces that all providers implement: IQueue, IKeyValueStore, IObjectStore, IEventBus, IStateMachine, and so on. Local development providers implement these interfaces today. In the long term, production-grade providers (Kafka, PostgreSQL, MinIO, Temporal) will implement the same interfaces, enabling applications to be deployed to non-AWS infrastructure without code changes. Every provider is built against these interfaces from day one.</w:t>
      </w:r>
    </w:p>
    <w:p>
      <w:r>
        <w:br w:type="page"/>
      </w:r>
    </w:p>
    <w:p>
      <w:pPr>
        <w:pStyle w:val="Heading1"/>
      </w:pPr>
      <w:r>
        <w:t xml:space="preserve">Phase 0: Proof of Concept</w:t>
      </w:r>
    </w:p>
    <w:p>
      <w:pPr>
        <w:pStyle w:val="Heading2"/>
      </w:pPr>
      <w:r>
        <w:t xml:space="preserve">Goal</w:t>
      </w:r>
    </w:p>
    <w:p>
      <w:pPr>
        <w:spacing w:after="200"/>
      </w:pPr>
      <w:r>
        <w:rPr>
          <w:rFonts w:ascii="Arial" w:cs="Arial" w:eastAsia="Arial" w:hAnsi="Arial"/>
          <w:sz w:val="24"/>
          <w:szCs w:val="24"/>
        </w:rPr>
        <w:t xml:space="preserve">Validate the core technical approach by building the simplest possible end-to-end path: read a CDK app that defines an API Gateway with a Lambda function and a DynamoDB table, and run it locally with a single command.</w:t>
      </w:r>
    </w:p>
    <w:p>
      <w:pPr>
        <w:pStyle w:val="Heading2"/>
      </w:pPr>
      <w:r>
        <w:t xml:space="preserve">Duration</w:t>
      </w:r>
    </w:p>
    <w:p>
      <w:pPr>
        <w:spacing w:after="200"/>
      </w:pPr>
      <w:r>
        <w:rPr>
          <w:rFonts w:ascii="Arial" w:cs="Arial" w:eastAsia="Arial" w:hAnsi="Arial"/>
          <w:sz w:val="24"/>
          <w:szCs w:val="24"/>
        </w:rPr>
        <w:t xml:space="preserve">2–3 weeks.</w:t>
      </w:r>
    </w:p>
    <w:p>
      <w:pPr>
        <w:pStyle w:val="Heading2"/>
      </w:pPr>
      <w:r>
        <w:t xml:space="preserve">Deliverables</w:t>
      </w:r>
    </w:p>
    <w:p>
      <w:pPr>
        <w:pStyle w:val="Heading3"/>
      </w:pPr>
      <w:r>
        <w:t xml:space="preserve">0.1: Cloud Assembly Parser (Week 1)</w:t>
      </w:r>
    </w:p>
    <w:p>
      <w:pPr>
        <w:spacing w:after="200"/>
      </w:pPr>
      <w:r>
        <w:rPr>
          <w:rFonts w:ascii="Arial" w:cs="Arial" w:eastAsia="Arial" w:hAnsi="Arial"/>
          <w:sz w:val="24"/>
          <w:szCs w:val="24"/>
        </w:rPr>
        <w:t xml:space="preserve">Build a parser that reads the cdk.out directory and extracts a normalized resource graph.</w:t>
      </w:r>
    </w:p>
    <w:p>
      <w:pPr>
        <w:pStyle w:val="ListParagraph"/>
        <w:numPr>
          <w:ilvl w:val="0"/>
          <w:numId w:val="2"/>
        </w:numPr>
        <w:spacing w:after="120"/>
      </w:pPr>
      <w:r>
        <w:rPr>
          <w:rFonts w:ascii="Arial" w:cs="Arial" w:eastAsia="Arial" w:hAnsi="Arial"/>
          <w:sz w:val="24"/>
          <w:szCs w:val="24"/>
        </w:rPr>
        <w:t xml:space="preserve">Read tree.json and extract construct nodes with their CDK type information (constructInfo.fqn).</w:t>
      </w:r>
    </w:p>
    <w:p>
      <w:pPr>
        <w:pStyle w:val="ListParagraph"/>
        <w:numPr>
          <w:ilvl w:val="0"/>
          <w:numId w:val="2"/>
        </w:numPr>
        <w:spacing w:after="120"/>
      </w:pPr>
      <w:r>
        <w:rPr>
          <w:rFonts w:ascii="Arial" w:cs="Arial" w:eastAsia="Arial" w:hAnsi="Arial"/>
          <w:sz w:val="24"/>
          <w:szCs w:val="24"/>
        </w:rPr>
        <w:t xml:space="preserve">Read CloudFormation templates and extract resource properties (table key schemas, function handler paths, API route definitions, environment variables).</w:t>
      </w:r>
    </w:p>
    <w:p>
      <w:pPr>
        <w:pStyle w:val="ListParagraph"/>
        <w:numPr>
          <w:ilvl w:val="0"/>
          <w:numId w:val="2"/>
        </w:numPr>
        <w:spacing w:after="120"/>
      </w:pPr>
      <w:r>
        <w:rPr>
          <w:rFonts w:ascii="Arial" w:cs="Arial" w:eastAsia="Arial" w:hAnsi="Arial"/>
          <w:sz w:val="24"/>
          <w:szCs w:val="24"/>
        </w:rPr>
        <w:t xml:space="preserve">Resolve Ref and Fn::GetAtt references between resources to build the dependency graph.</w:t>
      </w:r>
    </w:p>
    <w:p>
      <w:pPr>
        <w:pStyle w:val="ListParagraph"/>
        <w:numPr>
          <w:ilvl w:val="0"/>
          <w:numId w:val="2"/>
        </w:numPr>
        <w:spacing w:after="120"/>
      </w:pPr>
      <w:r>
        <w:rPr>
          <w:rFonts w:ascii="Arial" w:cs="Arial" w:eastAsia="Arial" w:hAnsi="Arial"/>
          <w:sz w:val="24"/>
          <w:szCs w:val="24"/>
        </w:rPr>
        <w:t xml:space="preserve">Locate Lambda code assets in the cloud assembly’s asset directories.</w:t>
      </w:r>
    </w:p>
    <w:p>
      <w:pPr>
        <w:pStyle w:val="ListParagraph"/>
        <w:numPr>
          <w:ilvl w:val="0"/>
          <w:numId w:val="2"/>
        </w:numPr>
        <w:spacing w:after="120"/>
      </w:pPr>
      <w:r>
        <w:rPr>
          <w:rFonts w:ascii="Arial" w:cs="Arial" w:eastAsia="Arial" w:hAnsi="Arial"/>
          <w:sz w:val="24"/>
          <w:szCs w:val="24"/>
        </w:rPr>
        <w:t xml:space="preserve">Output a structured application graph: nodes (resources with type and config), edges (triggers, permissions, references).</w:t>
      </w:r>
    </w:p>
    <w:p>
      <w:pPr>
        <w:pStyle w:val="Heading3"/>
      </w:pPr>
      <w:r>
        <w:t xml:space="preserve">0.2: Provider Interface Definition (Week 1)</w:t>
      </w:r>
    </w:p>
    <w:p>
      <w:pPr>
        <w:spacing w:after="200"/>
      </w:pPr>
      <w:r>
        <w:rPr>
          <w:rFonts w:ascii="Arial" w:cs="Arial" w:eastAsia="Arial" w:hAnsi="Arial"/>
          <w:sz w:val="24"/>
          <w:szCs w:val="24"/>
        </w:rPr>
        <w:t xml:space="preserve">Define the abstract provider interfaces that all service implementations will target. This is a critical early deliverable because it establishes the abstraction boundary that enables both local development providers and future production-grade providers.</w:t>
      </w:r>
    </w:p>
    <w:p>
      <w:pPr>
        <w:pStyle w:val="ListParagraph"/>
        <w:numPr>
          <w:ilvl w:val="0"/>
          <w:numId w:val="2"/>
        </w:numPr>
        <w:spacing w:after="120"/>
      </w:pPr>
      <w:r>
        <w:rPr>
          <w:rFonts w:ascii="Arial" w:cs="Arial" w:eastAsia="Arial" w:hAnsi="Arial"/>
          <w:sz w:val="24"/>
          <w:szCs w:val="24"/>
        </w:rPr>
        <w:t xml:space="preserve">Define IKeyValueStore: get, put, query, delete, scan, batchGet, batchWrite. Parameterized by key schema.</w:t>
      </w:r>
    </w:p>
    <w:p>
      <w:pPr>
        <w:pStyle w:val="ListParagraph"/>
        <w:numPr>
          <w:ilvl w:val="0"/>
          <w:numId w:val="2"/>
        </w:numPr>
        <w:spacing w:after="120"/>
      </w:pPr>
      <w:r>
        <w:rPr>
          <w:rFonts w:ascii="Arial" w:cs="Arial" w:eastAsia="Arial" w:hAnsi="Arial"/>
          <w:sz w:val="24"/>
          <w:szCs w:val="24"/>
        </w:rPr>
        <w:t xml:space="preserve">Define IQueue: send, receive, delete, deadLetter. Parameterized by FIFO mode, visibility timeout, DLQ config.</w:t>
      </w:r>
    </w:p>
    <w:p>
      <w:pPr>
        <w:pStyle w:val="ListParagraph"/>
        <w:numPr>
          <w:ilvl w:val="0"/>
          <w:numId w:val="2"/>
        </w:numPr>
        <w:spacing w:after="120"/>
      </w:pPr>
      <w:r>
        <w:rPr>
          <w:rFonts w:ascii="Arial" w:cs="Arial" w:eastAsia="Arial" w:hAnsi="Arial"/>
          <w:sz w:val="24"/>
          <w:szCs w:val="24"/>
        </w:rPr>
        <w:t xml:space="preserve">Define IObjectStore: put, get, delete, list. Parameterized by event notification config.</w:t>
      </w:r>
    </w:p>
    <w:p>
      <w:pPr>
        <w:pStyle w:val="ListParagraph"/>
        <w:numPr>
          <w:ilvl w:val="0"/>
          <w:numId w:val="2"/>
        </w:numPr>
        <w:spacing w:after="120"/>
      </w:pPr>
      <w:r>
        <w:rPr>
          <w:rFonts w:ascii="Arial" w:cs="Arial" w:eastAsia="Arial" w:hAnsi="Arial"/>
          <w:sz w:val="24"/>
          <w:szCs w:val="24"/>
        </w:rPr>
        <w:t xml:space="preserve">Define IEventBus: publish, subscribe, matchRules. Parameterized by event patterns.</w:t>
      </w:r>
    </w:p>
    <w:p>
      <w:pPr>
        <w:pStyle w:val="ListParagraph"/>
        <w:numPr>
          <w:ilvl w:val="0"/>
          <w:numId w:val="2"/>
        </w:numPr>
        <w:spacing w:after="120"/>
      </w:pPr>
      <w:r>
        <w:rPr>
          <w:rFonts w:ascii="Arial" w:cs="Arial" w:eastAsia="Arial" w:hAnsi="Arial"/>
          <w:sz w:val="24"/>
          <w:szCs w:val="24"/>
        </w:rPr>
        <w:t xml:space="preserve">Define ICompute: invoke with event, context, and timeout. Parameterized by runtime, handler path, environment.</w:t>
      </w:r>
    </w:p>
    <w:p>
      <w:pPr>
        <w:pStyle w:val="ListParagraph"/>
        <w:numPr>
          <w:ilvl w:val="0"/>
          <w:numId w:val="2"/>
        </w:numPr>
        <w:spacing w:after="120"/>
      </w:pPr>
      <w:r>
        <w:rPr>
          <w:rFonts w:ascii="Arial" w:cs="Arial" w:eastAsia="Arial" w:hAnsi="Arial"/>
          <w:sz w:val="24"/>
          <w:szCs w:val="24"/>
        </w:rPr>
        <w:t xml:space="preserve">Ensure each interface is defined in terms of capabilities, not AWS API shapes. A queue is a queue — the interface should be implementable by SQS, Kafka, RabbitMQ, or an in-memory list.</w:t>
      </w:r>
    </w:p>
    <w:p>
      <w:pPr>
        <w:pStyle w:val="ListParagraph"/>
        <w:numPr>
          <w:ilvl w:val="0"/>
          <w:numId w:val="2"/>
        </w:numPr>
        <w:spacing w:after="120"/>
      </w:pPr>
      <w:r>
        <w:rPr>
          <w:rFonts w:ascii="Arial" w:cs="Arial" w:eastAsia="Arial" w:hAnsi="Arial"/>
          <w:sz w:val="24"/>
          <w:szCs w:val="24"/>
        </w:rPr>
        <w:t xml:space="preserve">Publish as the @ldk/interfaces package. All providers depend on this package; it depends on nothing.</w:t>
      </w:r>
    </w:p>
    <w:p>
      <w:pPr>
        <w:pStyle w:val="Heading3"/>
      </w:pPr>
      <w:r>
        <w:t xml:space="preserve">0.3: Minimal Local Runtime (Week 1–2)</w:t>
      </w:r>
    </w:p>
    <w:p>
      <w:pPr>
        <w:spacing w:after="200"/>
      </w:pPr>
      <w:r>
        <w:rPr>
          <w:rFonts w:ascii="Arial" w:cs="Arial" w:eastAsia="Arial" w:hAnsi="Arial"/>
          <w:sz w:val="24"/>
          <w:szCs w:val="24"/>
        </w:rPr>
        <w:t xml:space="preserve">Build the smallest possible local runtime that can execute the parsed graph. All service implementations must implement the provider interfaces defined in 0.2.</w:t>
      </w:r>
    </w:p>
    <w:p>
      <w:pPr>
        <w:pStyle w:val="ListParagraph"/>
        <w:numPr>
          <w:ilvl w:val="0"/>
          <w:numId w:val="2"/>
        </w:numPr>
        <w:spacing w:after="120"/>
      </w:pPr>
      <w:r>
        <w:rPr>
          <w:rFonts w:ascii="Arial" w:cs="Arial" w:eastAsia="Arial" w:hAnsi="Arial"/>
          <w:sz w:val="24"/>
          <w:szCs w:val="24"/>
        </w:rPr>
        <w:t xml:space="preserve">Lambda execution envelope: implement ICompute interface. Load a Node.js handler module, invoke it with a synthetic API Gateway proxy event, return the response.</w:t>
      </w:r>
    </w:p>
    <w:p>
      <w:pPr>
        <w:pStyle w:val="ListParagraph"/>
        <w:numPr>
          <w:ilvl w:val="0"/>
          <w:numId w:val="2"/>
        </w:numPr>
        <w:spacing w:after="120"/>
      </w:pPr>
      <w:r>
        <w:rPr>
          <w:rFonts w:ascii="Arial" w:cs="Arial" w:eastAsia="Arial" w:hAnsi="Arial"/>
          <w:sz w:val="24"/>
          <w:szCs w:val="24"/>
        </w:rPr>
        <w:t xml:space="preserve">Fastify HTTP server: register routes from the API Gateway definition, map them to ICompute invocations with correct event transformation.</w:t>
      </w:r>
    </w:p>
    <w:p>
      <w:pPr>
        <w:pStyle w:val="ListParagraph"/>
        <w:numPr>
          <w:ilvl w:val="0"/>
          <w:numId w:val="2"/>
        </w:numPr>
        <w:spacing w:after="120"/>
      </w:pPr>
      <w:r>
        <w:rPr>
          <w:rFonts w:ascii="Arial" w:cs="Arial" w:eastAsia="Arial" w:hAnsi="Arial"/>
          <w:sz w:val="24"/>
          <w:szCs w:val="24"/>
        </w:rPr>
        <w:t xml:space="preserve">SQLite DynamoDB provider: implement IKeyValueStore interface. Create tables matching the CDK-defined key schema, implement get, put, and query operations.</w:t>
      </w:r>
    </w:p>
    <w:p>
      <w:pPr>
        <w:pStyle w:val="ListParagraph"/>
        <w:numPr>
          <w:ilvl w:val="0"/>
          <w:numId w:val="2"/>
        </w:numPr>
        <w:spacing w:after="120"/>
      </w:pPr>
      <w:r>
        <w:rPr>
          <w:rFonts w:ascii="Arial" w:cs="Arial" w:eastAsia="Arial" w:hAnsi="Arial"/>
          <w:sz w:val="24"/>
          <w:szCs w:val="24"/>
        </w:rPr>
        <w:t xml:space="preserve">Environment variable injection: set TABLE_NAME and other CDK-defined environment variables, set AWS_ENDPOINT_URL variables to redirect SDK calls.</w:t>
      </w:r>
    </w:p>
    <w:p>
      <w:pPr>
        <w:pStyle w:val="Heading3"/>
      </w:pPr>
      <w:r>
        <w:t xml:space="preserve">0.4: ldk dev Command (Week 2–3)</w:t>
      </w:r>
    </w:p>
    <w:p>
      <w:pPr>
        <w:spacing w:after="200"/>
      </w:pPr>
      <w:r>
        <w:rPr>
          <w:rFonts w:ascii="Arial" w:cs="Arial" w:eastAsia="Arial" w:hAnsi="Arial"/>
          <w:sz w:val="24"/>
          <w:szCs w:val="24"/>
        </w:rPr>
        <w:t xml:space="preserve">Wire the parser and runtime together into a single CLI command.</w:t>
      </w:r>
    </w:p>
    <w:p>
      <w:pPr>
        <w:pStyle w:val="ListParagraph"/>
        <w:numPr>
          <w:ilvl w:val="0"/>
          <w:numId w:val="2"/>
        </w:numPr>
        <w:spacing w:after="120"/>
      </w:pPr>
      <w:r>
        <w:rPr>
          <w:rFonts w:ascii="Arial" w:cs="Arial" w:eastAsia="Arial" w:hAnsi="Arial"/>
          <w:sz w:val="24"/>
          <w:szCs w:val="24"/>
        </w:rPr>
        <w:t xml:space="preserve">Run cdk synth automatically if cdk.out is stale or missing.</w:t>
      </w:r>
    </w:p>
    <w:p>
      <w:pPr>
        <w:pStyle w:val="ListParagraph"/>
        <w:numPr>
          <w:ilvl w:val="0"/>
          <w:numId w:val="2"/>
        </w:numPr>
        <w:spacing w:after="120"/>
      </w:pPr>
      <w:r>
        <w:rPr>
          <w:rFonts w:ascii="Arial" w:cs="Arial" w:eastAsia="Arial" w:hAnsi="Arial"/>
          <w:sz w:val="24"/>
          <w:szCs w:val="24"/>
        </w:rPr>
        <w:t xml:space="preserve">Parse the cloud assembly, construct the application graph, start local services.</w:t>
      </w:r>
    </w:p>
    <w:p>
      <w:pPr>
        <w:pStyle w:val="ListParagraph"/>
        <w:numPr>
          <w:ilvl w:val="0"/>
          <w:numId w:val="2"/>
        </w:numPr>
        <w:spacing w:after="120"/>
      </w:pPr>
      <w:r>
        <w:rPr>
          <w:rFonts w:ascii="Arial" w:cs="Arial" w:eastAsia="Arial" w:hAnsi="Arial"/>
          <w:sz w:val="24"/>
          <w:szCs w:val="24"/>
        </w:rPr>
        <w:t xml:space="preserve">Print the application summary (routes, handlers, tables) to the terminal.</w:t>
      </w:r>
    </w:p>
    <w:p>
      <w:pPr>
        <w:pStyle w:val="ListParagraph"/>
        <w:numPr>
          <w:ilvl w:val="0"/>
          <w:numId w:val="2"/>
        </w:numPr>
        <w:spacing w:after="120"/>
      </w:pPr>
      <w:r>
        <w:rPr>
          <w:rFonts w:ascii="Arial" w:cs="Arial" w:eastAsia="Arial" w:hAnsi="Arial"/>
          <w:sz w:val="24"/>
          <w:szCs w:val="24"/>
        </w:rPr>
        <w:t xml:space="preserve">Implement basic file watching with chokidar for hot reload of handler code.</w:t>
      </w:r>
    </w:p>
    <w:p>
      <w:pPr>
        <w:pStyle w:val="Heading2"/>
      </w:pPr>
      <w:r>
        <w:t xml:space="preserve">Spike Validation Criteria</w:t>
      </w:r>
    </w:p>
    <w:p>
      <w:pPr>
        <w:spacing w:after="200"/>
      </w:pPr>
      <w:r>
        <w:rPr>
          <w:rFonts w:ascii="Arial" w:cs="Arial" w:eastAsia="Arial" w:hAnsi="Arial"/>
          <w:sz w:val="24"/>
          <w:szCs w:val="24"/>
        </w:rPr>
        <w:t xml:space="preserve">The spike is successful if the following scenario works end to end: a developer has a CDK app written in any supported language that defines a REST API with one route, one Lambda handler (Node.js), and one DynamoDB table. They run ldk dev and can make HTTP requests to localhost that invoke their handler code, which reads and writes to the local DynamoDB table, with hot reload on code changes.</w:t>
      </w:r>
    </w:p>
    <w:p>
      <w:pPr>
        <w:pStyle w:val="Heading2"/>
      </w:pPr>
      <w:r>
        <w:t xml:space="preserve">Key Risks to Validate</w:t>
      </w:r>
    </w:p>
    <w:p>
      <w:pPr>
        <w:pStyle w:val="ListParagraph"/>
        <w:numPr>
          <w:ilvl w:val="0"/>
          <w:numId w:val="2"/>
        </w:numPr>
        <w:spacing w:after="120"/>
      </w:pPr>
      <w:r>
        <w:rPr>
          <w:rFonts w:ascii="Arial" w:cs="Arial" w:eastAsia="Arial" w:hAnsi="Arial"/>
          <w:sz w:val="24"/>
          <w:szCs w:val="24"/>
        </w:rPr>
        <w:t xml:space="preserve">Can tree.json reliably provide construct relationships across different CDK versions and languages?</w:t>
      </w:r>
    </w:p>
    <w:p>
      <w:pPr>
        <w:pStyle w:val="ListParagraph"/>
        <w:numPr>
          <w:ilvl w:val="0"/>
          <w:numId w:val="2"/>
        </w:numPr>
        <w:spacing w:after="120"/>
      </w:pPr>
      <w:r>
        <w:rPr>
          <w:rFonts w:ascii="Arial" w:cs="Arial" w:eastAsia="Arial" w:hAnsi="Arial"/>
          <w:sz w:val="24"/>
          <w:szCs w:val="24"/>
        </w:rPr>
        <w:t xml:space="preserve">Is the AWS_ENDPOINT_URL mechanism sufficient for transparent SDK redirection across all SDK versions in active use?</w:t>
      </w:r>
    </w:p>
    <w:p>
      <w:pPr>
        <w:pStyle w:val="ListParagraph"/>
        <w:numPr>
          <w:ilvl w:val="0"/>
          <w:numId w:val="2"/>
        </w:numPr>
        <w:spacing w:after="120"/>
      </w:pPr>
      <w:r>
        <w:rPr>
          <w:rFonts w:ascii="Arial" w:cs="Arial" w:eastAsia="Arial" w:hAnsi="Arial"/>
          <w:sz w:val="24"/>
          <w:szCs w:val="24"/>
        </w:rPr>
        <w:t xml:space="preserve">What is the cold start latency for local Lambda invocations? Target is under 100ms.</w:t>
      </w:r>
    </w:p>
    <w:p>
      <w:pPr>
        <w:pStyle w:val="ListParagraph"/>
        <w:numPr>
          <w:ilvl w:val="0"/>
          <w:numId w:val="2"/>
        </w:numPr>
        <w:spacing w:after="120"/>
      </w:pPr>
      <w:r>
        <w:rPr>
          <w:rFonts w:ascii="Arial" w:cs="Arial" w:eastAsia="Arial" w:hAnsi="Arial"/>
          <w:sz w:val="24"/>
          <w:szCs w:val="24"/>
        </w:rPr>
        <w:t xml:space="preserve">Does the SQLite DynamoDB provider handle the common PutItem/GetItem/Query patterns correctly?</w:t>
      </w:r>
    </w:p>
    <w:p>
      <w:r>
        <w:br w:type="page"/>
      </w:r>
    </w:p>
    <w:p>
      <w:pPr>
        <w:pStyle w:val="Heading1"/>
      </w:pPr>
      <w:r>
        <w:t xml:space="preserve">Phase 1: Core Runtime</w:t>
      </w:r>
    </w:p>
    <w:p>
      <w:pPr>
        <w:pStyle w:val="Heading2"/>
      </w:pPr>
      <w:r>
        <w:t xml:space="preserve">Goal</w:t>
      </w:r>
    </w:p>
    <w:p>
      <w:pPr>
        <w:spacing w:after="200"/>
      </w:pPr>
      <w:r>
        <w:rPr>
          <w:rFonts w:ascii="Arial" w:cs="Arial" w:eastAsia="Arial" w:hAnsi="Arial"/>
          <w:sz w:val="24"/>
          <w:szCs w:val="24"/>
        </w:rPr>
        <w:t xml:space="preserve">Expand from the proof of concept into a usable tool that supports the most common serverless patterns: HTTP APIs, event-driven processing, and data persistence. This phase makes LDK useful for real (simple) applications.</w:t>
      </w:r>
    </w:p>
    <w:p>
      <w:pPr>
        <w:pStyle w:val="Heading2"/>
      </w:pPr>
      <w:r>
        <w:t xml:space="preserve">Duration</w:t>
      </w:r>
    </w:p>
    <w:p>
      <w:pPr>
        <w:spacing w:after="200"/>
      </w:pPr>
      <w:r>
        <w:rPr>
          <w:rFonts w:ascii="Arial" w:cs="Arial" w:eastAsia="Arial" w:hAnsi="Arial"/>
          <w:sz w:val="24"/>
          <w:szCs w:val="24"/>
        </w:rPr>
        <w:t xml:space="preserve">6–8 weeks.</w:t>
      </w:r>
    </w:p>
    <w:p>
      <w:pPr>
        <w:pStyle w:val="Heading2"/>
      </w:pPr>
      <w:r>
        <w:t xml:space="preserve">Deliverables</w:t>
      </w:r>
    </w:p>
    <w:p>
      <w:pPr>
        <w:pStyle w:val="Heading3"/>
      </w:pPr>
      <w:r>
        <w:t xml:space="preserve">1.1: Expanded Compute Support (Weeks 1–2)</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4200"/>
        <w:gridCol w:w="2960"/>
      </w:tblGrid>
      <w:tr>
        <w:tc>
          <w:tcPr>
            <w:tcW w:type="dxa" w:w="2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1"/>
                <w:szCs w:val="21"/>
              </w:rPr>
              <w:t xml:space="preserve">Task</w:t>
            </w:r>
          </w:p>
        </w:tc>
        <w:tc>
          <w:tcPr>
            <w:tcW w:type="dxa" w:w="4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1"/>
                <w:szCs w:val="21"/>
              </w:rPr>
              <w:t xml:space="preserve">Description</w:t>
            </w:r>
          </w:p>
        </w:tc>
        <w:tc>
          <w:tcPr>
            <w:tcW w:type="dxa" w:w="29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1"/>
                <w:szCs w:val="21"/>
              </w:rPr>
              <w:t xml:space="preserve">Acceptance Criteria</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Python Lambda support</w:t>
            </w:r>
          </w:p>
        </w:tc>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Execution envelope for Python handlers using subprocess with event serialization</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Python handler invoked correctly with event, response returned, debugpy attachment works</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Lambda context object</w:t>
            </w:r>
          </w:p>
        </w:tc>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Provide a realistic Lambda context including functionName, memoryLimitInMB, getRemainingTimeInMillis</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Handler code that reads context properties behaves correctly</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Timeout enforcement</w:t>
            </w:r>
          </w:p>
        </w:tc>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Kill handler execution after the CDK-configured timeout</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Handler exceeding timeout receives appropriate error, subsequent invocations unaffected</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Environment variable resolution</w:t>
            </w:r>
          </w:p>
        </w:tc>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Resolve all Ref and Fn::GetAtt values in Lambda environment variable blocks</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Cross-resource references (table names, queue URLs) resolve to local equivalents</w:t>
            </w:r>
          </w:p>
        </w:tc>
      </w:tr>
    </w:tbl>
    <w:p>
      <w:pPr>
        <w:spacing w:after="200"/>
      </w:pPr>
    </w:p>
    <w:p>
      <w:pPr>
        <w:pStyle w:val="Heading3"/>
      </w:pPr>
      <w:r>
        <w:t xml:space="preserve">1.2: SQS Provider (Weeks 2–3)</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4200"/>
        <w:gridCol w:w="2960"/>
      </w:tblGrid>
      <w:tr>
        <w:tc>
          <w:tcPr>
            <w:tcW w:type="dxa" w:w="2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1"/>
                <w:szCs w:val="21"/>
              </w:rPr>
              <w:t xml:space="preserve">Task</w:t>
            </w:r>
          </w:p>
        </w:tc>
        <w:tc>
          <w:tcPr>
            <w:tcW w:type="dxa" w:w="4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1"/>
                <w:szCs w:val="21"/>
              </w:rPr>
              <w:t xml:space="preserve">Description</w:t>
            </w:r>
          </w:p>
        </w:tc>
        <w:tc>
          <w:tcPr>
            <w:tcW w:type="dxa" w:w="29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1"/>
                <w:szCs w:val="21"/>
              </w:rPr>
              <w:t xml:space="preserve">Acceptance Criteria</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In-memory queue</w:t>
            </w:r>
          </w:p>
        </w:tc>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Implement SendMessage, ReceiveMessage, DeleteMessage with visibility timeout</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Messages sent via SDK arrive in queue and can be received</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Lambda event source mapping</w:t>
            </w:r>
          </w:p>
        </w:tc>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Poll queue and invoke configured Lambda handler with SQS event batch</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Handler triggered automatically when messages arrive, batch size respected</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Dead letter queue</w:t>
            </w:r>
          </w:p>
        </w:tc>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Route failed messages to configured DLQ after maxReceiveCount</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After N failures, message appears in DLQ, not re-delivered to primary handler</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FIFO queue support</w:t>
            </w:r>
          </w:p>
        </w:tc>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MessageGroupId ordering and MessageDeduplicationId handling</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Messages in same group delivered in order, duplicates within window rejected</w:t>
            </w:r>
          </w:p>
        </w:tc>
      </w:tr>
    </w:tbl>
    <w:p>
      <w:pPr>
        <w:spacing w:after="200"/>
      </w:pPr>
    </w:p>
    <w:p>
      <w:pPr>
        <w:pStyle w:val="Heading3"/>
      </w:pPr>
      <w:r>
        <w:t xml:space="preserve">1.3: S3 Provider (Weeks 3–4)</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4200"/>
        <w:gridCol w:w="2960"/>
      </w:tblGrid>
      <w:tr>
        <w:tc>
          <w:tcPr>
            <w:tcW w:type="dxa" w:w="2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1"/>
                <w:szCs w:val="21"/>
              </w:rPr>
              <w:t xml:space="preserve">Task</w:t>
            </w:r>
          </w:p>
        </w:tc>
        <w:tc>
          <w:tcPr>
            <w:tcW w:type="dxa" w:w="4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1"/>
                <w:szCs w:val="21"/>
              </w:rPr>
              <w:t xml:space="preserve">Description</w:t>
            </w:r>
          </w:p>
        </w:tc>
        <w:tc>
          <w:tcPr>
            <w:tcW w:type="dxa" w:w="29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1"/>
                <w:szCs w:val="21"/>
              </w:rPr>
              <w:t xml:space="preserve">Acceptance Criteria</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Filesystem-backed bucket</w:t>
            </w:r>
          </w:p>
        </w:tc>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Map S3 operations to local filesystem: PutObject, GetObject, DeleteObject, ListObjects</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SDK calls to put/get/list objects work against local directory</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Event notifications</w:t>
            </w:r>
          </w:p>
        </w:tc>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Fire S3 event notifications (ObjectCreated, ObjectRemoved) to connected Lambda handlers</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Uploading a file to local bucket triggers the configured handler with correct event</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Presigned URLs</w:t>
            </w:r>
          </w:p>
        </w:tc>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Generate presigned URLs that resolve to local endpoints</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Presigned URL can be used to upload/download from local bucket</w:t>
            </w:r>
          </w:p>
        </w:tc>
      </w:tr>
    </w:tbl>
    <w:p>
      <w:pPr>
        <w:spacing w:after="200"/>
      </w:pPr>
    </w:p>
    <w:p>
      <w:pPr>
        <w:pStyle w:val="Heading3"/>
      </w:pPr>
      <w:r>
        <w:t xml:space="preserve">1.4: SNS Provider (Week 4)</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4200"/>
        <w:gridCol w:w="2960"/>
      </w:tblGrid>
      <w:tr>
        <w:tc>
          <w:tcPr>
            <w:tcW w:type="dxa" w:w="2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1"/>
                <w:szCs w:val="21"/>
              </w:rPr>
              <w:t xml:space="preserve">Task</w:t>
            </w:r>
          </w:p>
        </w:tc>
        <w:tc>
          <w:tcPr>
            <w:tcW w:type="dxa" w:w="4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1"/>
                <w:szCs w:val="21"/>
              </w:rPr>
              <w:t xml:space="preserve">Description</w:t>
            </w:r>
          </w:p>
        </w:tc>
        <w:tc>
          <w:tcPr>
            <w:tcW w:type="dxa" w:w="29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1"/>
                <w:szCs w:val="21"/>
              </w:rPr>
              <w:t xml:space="preserve">Acceptance Criteria</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Local pub/sub</w:t>
            </w:r>
          </w:p>
        </w:tc>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Publish/Subscribe with fan-out to Lambda subscribers</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Publishing a message invokes all subscribed Lambda handlers</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SQS subscriptions</w:t>
            </w:r>
          </w:p>
        </w:tc>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Route SNS messages to SQS queues when subscription is configured</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SNS publish causes message to appear in subscribed SQS queue</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Message filtering</w:t>
            </w:r>
          </w:p>
        </w:tc>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Support SNS subscription filter policies</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Messages only delivered to subscribers whose filters match</w:t>
            </w:r>
          </w:p>
        </w:tc>
      </w:tr>
    </w:tbl>
    <w:p>
      <w:pPr>
        <w:spacing w:after="200"/>
      </w:pPr>
    </w:p>
    <w:p>
      <w:pPr>
        <w:pStyle w:val="Heading3"/>
      </w:pPr>
      <w:r>
        <w:t xml:space="preserve">1.5: Enhanced DynamoDB Provider (Weeks 4–5)</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4200"/>
        <w:gridCol w:w="2960"/>
      </w:tblGrid>
      <w:tr>
        <w:tc>
          <w:tcPr>
            <w:tcW w:type="dxa" w:w="2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1"/>
                <w:szCs w:val="21"/>
              </w:rPr>
              <w:t xml:space="preserve">Task</w:t>
            </w:r>
          </w:p>
        </w:tc>
        <w:tc>
          <w:tcPr>
            <w:tcW w:type="dxa" w:w="4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1"/>
                <w:szCs w:val="21"/>
              </w:rPr>
              <w:t xml:space="preserve">Description</w:t>
            </w:r>
          </w:p>
        </w:tc>
        <w:tc>
          <w:tcPr>
            <w:tcW w:type="dxa" w:w="29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1"/>
                <w:szCs w:val="21"/>
              </w:rPr>
              <w:t xml:space="preserve">Acceptance Criteria</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Global Secondary Indexes</w:t>
            </w:r>
          </w:p>
        </w:tc>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Support GSI queries with projection and key schema</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Query against GSI returns correct results ordered by sort key</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FilterExpression</w:t>
            </w:r>
          </w:p>
        </w:tc>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Parse and evaluate DynamoDB filter expressions in SQL</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Filtered queries return subset matching expression</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UpdateExpression</w:t>
            </w:r>
          </w:p>
        </w:tc>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Support SET, REMOVE, ADD, DELETE update operations</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Complex update expressions modify items correctly</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Batch operations</w:t>
            </w:r>
          </w:p>
        </w:tc>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BatchGetItem, BatchWriteItem with 25-item limits</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Batch operations process all items, respect limits</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DynamoDB Streams</w:t>
            </w:r>
          </w:p>
        </w:tc>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Emit change events for items, deliver to connected Lambda handlers</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Stream-connected Lambda invoked with correct change record on item modification</w:t>
            </w:r>
          </w:p>
        </w:tc>
      </w:tr>
    </w:tbl>
    <w:p>
      <w:pPr>
        <w:spacing w:after="200"/>
      </w:pPr>
    </w:p>
    <w:p>
      <w:pPr>
        <w:pStyle w:val="Heading3"/>
      </w:pPr>
      <w:r>
        <w:t xml:space="preserve">1.6: Developer Experience Polish (Weeks 5–6)</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4200"/>
        <w:gridCol w:w="2960"/>
      </w:tblGrid>
      <w:tr>
        <w:tc>
          <w:tcPr>
            <w:tcW w:type="dxa" w:w="2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1"/>
                <w:szCs w:val="21"/>
              </w:rPr>
              <w:t xml:space="preserve">Task</w:t>
            </w:r>
          </w:p>
        </w:tc>
        <w:tc>
          <w:tcPr>
            <w:tcW w:type="dxa" w:w="4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1"/>
                <w:szCs w:val="21"/>
              </w:rPr>
              <w:t xml:space="preserve">Description</w:t>
            </w:r>
          </w:p>
        </w:tc>
        <w:tc>
          <w:tcPr>
            <w:tcW w:type="dxa" w:w="29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1"/>
                <w:szCs w:val="21"/>
              </w:rPr>
              <w:t xml:space="preserve">Acceptance Criteria</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Structured logging</w:t>
            </w:r>
          </w:p>
        </w:tc>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Rich terminal output showing request flow, SDK calls, and responses</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Developer can trace a request through the system from terminal output</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Error handling</w:t>
            </w:r>
          </w:p>
        </w:tc>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Clear error messages when handlers fail, with stack traces and event context</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Runtime error shows handler name, event payload, and full stack trace</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CDK change detection</w:t>
            </w:r>
          </w:p>
        </w:tc>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Watch CDK source files, auto re-synth, apply incremental changes</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Adding a new route to CDK causes it to appear locally without restart</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State persistence</w:t>
            </w:r>
          </w:p>
        </w:tc>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Persist DynamoDB and SQS state between sessions using SQLite and filesystem</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Data survives ldk dev restart, ldk reset clears it</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ldk invoke command</w:t>
            </w:r>
          </w:p>
        </w:tc>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Invoke any handler directly with a custom event JSON from CLI</w:t>
            </w:r>
          </w:p>
        </w:tc>
        <w:tc>
          <w:tcPr>
            <w:tcW w:type="dxa" w:w="29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Developer can test individual handlers without triggering through full path</w:t>
            </w:r>
          </w:p>
        </w:tc>
      </w:tr>
    </w:tbl>
    <w:p>
      <w:pPr>
        <w:spacing w:after="200"/>
      </w:pPr>
    </w:p>
    <w:p>
      <w:pPr>
        <w:pStyle w:val="Heading2"/>
      </w:pPr>
      <w:r>
        <w:t xml:space="preserve">Phase 1 Exit Criteria</w:t>
      </w:r>
    </w:p>
    <w:p>
      <w:pPr>
        <w:spacing w:after="200"/>
      </w:pPr>
      <w:r>
        <w:rPr>
          <w:rFonts w:ascii="Arial" w:cs="Arial" w:eastAsia="Arial" w:hAnsi="Arial"/>
          <w:sz w:val="24"/>
          <w:szCs w:val="24"/>
        </w:rPr>
        <w:t xml:space="preserve">A developer with a CDK app composed of API Gateway, Lambda (Node.js or Python), DynamoDB, SQS, SNS, and S3 can run ldk dev and have their full application running locally with hot reload, structured logging, and standard debugger support. The tool handles the common serverless patterns: HTTP request/response, event-driven queue processing, pub/sub fan-out, file storage with notifications, and DynamoDB Streams.</w:t>
      </w:r>
    </w:p>
    <w:p>
      <w:r>
        <w:br w:type="page"/>
      </w:r>
    </w:p>
    <w:p>
      <w:pPr>
        <w:pStyle w:val="Heading1"/>
      </w:pPr>
      <w:r>
        <w:t xml:space="preserve">Phase 2: Advanced Constructs</w:t>
      </w:r>
    </w:p>
    <w:p>
      <w:pPr>
        <w:pStyle w:val="Heading2"/>
      </w:pPr>
      <w:r>
        <w:t xml:space="preserve">Goal</w:t>
      </w:r>
    </w:p>
    <w:p>
      <w:pPr>
        <w:spacing w:after="200"/>
      </w:pPr>
      <w:r>
        <w:rPr>
          <w:rFonts w:ascii="Arial" w:cs="Arial" w:eastAsia="Arial" w:hAnsi="Arial"/>
          <w:sz w:val="24"/>
          <w:szCs w:val="24"/>
        </w:rPr>
        <w:t xml:space="preserve">Support more complex application architectures: Step Functions, EventBridge, scheduled events, and ECS services. This phase extends LDK’s reach from simple serverless apps to complex event-driven and container-based architectures.</w:t>
      </w:r>
    </w:p>
    <w:p>
      <w:pPr>
        <w:pStyle w:val="Heading2"/>
      </w:pPr>
      <w:r>
        <w:t xml:space="preserve">Duration</w:t>
      </w:r>
    </w:p>
    <w:p>
      <w:pPr>
        <w:spacing w:after="200"/>
      </w:pPr>
      <w:r>
        <w:rPr>
          <w:rFonts w:ascii="Arial" w:cs="Arial" w:eastAsia="Arial" w:hAnsi="Arial"/>
          <w:sz w:val="24"/>
          <w:szCs w:val="24"/>
        </w:rPr>
        <w:t xml:space="preserve">6–8 weeks.</w:t>
      </w:r>
    </w:p>
    <w:p>
      <w:pPr>
        <w:pStyle w:val="Heading2"/>
      </w:pPr>
      <w:r>
        <w:t xml:space="preserve">Deliverables</w:t>
      </w:r>
    </w:p>
    <w:p>
      <w:pPr>
        <w:pStyle w:val="Heading3"/>
      </w:pPr>
      <w:r>
        <w:t xml:space="preserve">2.1: EventBridge Provider (Weeks 1–2)</w:t>
      </w:r>
    </w:p>
    <w:p>
      <w:pPr>
        <w:pStyle w:val="ListParagraph"/>
        <w:numPr>
          <w:ilvl w:val="0"/>
          <w:numId w:val="2"/>
        </w:numPr>
        <w:spacing w:after="120"/>
      </w:pPr>
      <w:r>
        <w:rPr>
          <w:rFonts w:ascii="Arial" w:cs="Arial" w:eastAsia="Arial" w:hAnsi="Arial"/>
          <w:sz w:val="24"/>
          <w:szCs w:val="24"/>
        </w:rPr>
        <w:t xml:space="preserve">Local event bus with rule matching (event pattern syntax).</w:t>
      </w:r>
    </w:p>
    <w:p>
      <w:pPr>
        <w:pStyle w:val="ListParagraph"/>
        <w:numPr>
          <w:ilvl w:val="0"/>
          <w:numId w:val="2"/>
        </w:numPr>
        <w:spacing w:after="120"/>
      </w:pPr>
      <w:r>
        <w:rPr>
          <w:rFonts w:ascii="Arial" w:cs="Arial" w:eastAsia="Arial" w:hAnsi="Arial"/>
          <w:sz w:val="24"/>
          <w:szCs w:val="24"/>
        </w:rPr>
        <w:t xml:space="preserve">Route matched events to Lambda targets.</w:t>
      </w:r>
    </w:p>
    <w:p>
      <w:pPr>
        <w:pStyle w:val="ListParagraph"/>
        <w:numPr>
          <w:ilvl w:val="0"/>
          <w:numId w:val="2"/>
        </w:numPr>
        <w:spacing w:after="120"/>
      </w:pPr>
      <w:r>
        <w:rPr>
          <w:rFonts w:ascii="Arial" w:cs="Arial" w:eastAsia="Arial" w:hAnsi="Arial"/>
          <w:sz w:val="24"/>
          <w:szCs w:val="24"/>
        </w:rPr>
        <w:t xml:space="preserve">Support scheduled rules using cron expressions with node-cron or similar.</w:t>
      </w:r>
    </w:p>
    <w:p>
      <w:pPr>
        <w:pStyle w:val="ListParagraph"/>
        <w:numPr>
          <w:ilvl w:val="0"/>
          <w:numId w:val="2"/>
        </w:numPr>
        <w:spacing w:after="120"/>
      </w:pPr>
      <w:r>
        <w:rPr>
          <w:rFonts w:ascii="Arial" w:cs="Arial" w:eastAsia="Arial" w:hAnsi="Arial"/>
          <w:sz w:val="24"/>
          <w:szCs w:val="24"/>
        </w:rPr>
        <w:t xml:space="preserve">Support cross-service event routing (S3 events through EventBridge to Lambda).</w:t>
      </w:r>
    </w:p>
    <w:p>
      <w:pPr>
        <w:pStyle w:val="Heading3"/>
      </w:pPr>
      <w:r>
        <w:t xml:space="preserve">2.2: Step Functions Provider (Weeks 2–4)</w:t>
      </w:r>
    </w:p>
    <w:p>
      <w:pPr>
        <w:pStyle w:val="ListParagraph"/>
        <w:numPr>
          <w:ilvl w:val="0"/>
          <w:numId w:val="2"/>
        </w:numPr>
        <w:spacing w:after="120"/>
      </w:pPr>
      <w:r>
        <w:rPr>
          <w:rFonts w:ascii="Arial" w:cs="Arial" w:eastAsia="Arial" w:hAnsi="Arial"/>
          <w:sz w:val="24"/>
          <w:szCs w:val="24"/>
        </w:rPr>
        <w:t xml:space="preserve">Local state machine execution engine supporting core ASL (Amazon States Language) states: Task, Choice, Wait, Parallel, Map, Pass, Succeed, Fail.</w:t>
      </w:r>
    </w:p>
    <w:p>
      <w:pPr>
        <w:pStyle w:val="ListParagraph"/>
        <w:numPr>
          <w:ilvl w:val="0"/>
          <w:numId w:val="2"/>
        </w:numPr>
        <w:spacing w:after="120"/>
      </w:pPr>
      <w:r>
        <w:rPr>
          <w:rFonts w:ascii="Arial" w:cs="Arial" w:eastAsia="Arial" w:hAnsi="Arial"/>
          <w:sz w:val="24"/>
          <w:szCs w:val="24"/>
        </w:rPr>
        <w:t xml:space="preserve">Task states invoke local Lambda handlers with correct input/output processing.</w:t>
      </w:r>
    </w:p>
    <w:p>
      <w:pPr>
        <w:pStyle w:val="ListParagraph"/>
        <w:numPr>
          <w:ilvl w:val="0"/>
          <w:numId w:val="2"/>
        </w:numPr>
        <w:spacing w:after="120"/>
      </w:pPr>
      <w:r>
        <w:rPr>
          <w:rFonts w:ascii="Arial" w:cs="Arial" w:eastAsia="Arial" w:hAnsi="Arial"/>
          <w:sz w:val="24"/>
          <w:szCs w:val="24"/>
        </w:rPr>
        <w:t xml:space="preserve">Retry and catch error handling.</w:t>
      </w:r>
    </w:p>
    <w:p>
      <w:pPr>
        <w:pStyle w:val="ListParagraph"/>
        <w:numPr>
          <w:ilvl w:val="0"/>
          <w:numId w:val="2"/>
        </w:numPr>
        <w:spacing w:after="120"/>
      </w:pPr>
      <w:r>
        <w:rPr>
          <w:rFonts w:ascii="Arial" w:cs="Arial" w:eastAsia="Arial" w:hAnsi="Arial"/>
          <w:sz w:val="24"/>
          <w:szCs w:val="24"/>
        </w:rPr>
        <w:t xml:space="preserve">Execution history and visual state tracking in terminal output.</w:t>
      </w:r>
    </w:p>
    <w:p>
      <w:pPr>
        <w:pStyle w:val="ListParagraph"/>
        <w:numPr>
          <w:ilvl w:val="0"/>
          <w:numId w:val="2"/>
        </w:numPr>
        <w:spacing w:after="120"/>
      </w:pPr>
      <w:r>
        <w:rPr>
          <w:rFonts w:ascii="Arial" w:cs="Arial" w:eastAsia="Arial" w:hAnsi="Arial"/>
          <w:sz w:val="24"/>
          <w:szCs w:val="24"/>
        </w:rPr>
        <w:t xml:space="preserve">Support for Express and Standard workflow types with appropriate behavior differences.</w:t>
      </w:r>
    </w:p>
    <w:p>
      <w:pPr>
        <w:pStyle w:val="Heading3"/>
      </w:pPr>
      <w:r>
        <w:t xml:space="preserve">2.3: ECS Service Support (Weeks 4–5)</w:t>
      </w:r>
    </w:p>
    <w:p>
      <w:pPr>
        <w:pStyle w:val="ListParagraph"/>
        <w:numPr>
          <w:ilvl w:val="0"/>
          <w:numId w:val="2"/>
        </w:numPr>
        <w:spacing w:after="120"/>
      </w:pPr>
      <w:r>
        <w:rPr>
          <w:rFonts w:ascii="Arial" w:cs="Arial" w:eastAsia="Arial" w:hAnsi="Arial"/>
          <w:sz w:val="24"/>
          <w:szCs w:val="24"/>
        </w:rPr>
        <w:t xml:space="preserve">Run ECS task definitions as long-running local processes (using Docker or direct process execution).</w:t>
      </w:r>
    </w:p>
    <w:p>
      <w:pPr>
        <w:pStyle w:val="ListParagraph"/>
        <w:numPr>
          <w:ilvl w:val="0"/>
          <w:numId w:val="2"/>
        </w:numPr>
        <w:spacing w:after="120"/>
      </w:pPr>
      <w:r>
        <w:rPr>
          <w:rFonts w:ascii="Arial" w:cs="Arial" w:eastAsia="Arial" w:hAnsi="Arial"/>
          <w:sz w:val="24"/>
          <w:szCs w:val="24"/>
        </w:rPr>
        <w:t xml:space="preserve">Health check polling against the configured health check endpoint.</w:t>
      </w:r>
    </w:p>
    <w:p>
      <w:pPr>
        <w:pStyle w:val="ListParagraph"/>
        <w:numPr>
          <w:ilvl w:val="0"/>
          <w:numId w:val="2"/>
        </w:numPr>
        <w:spacing w:after="120"/>
      </w:pPr>
      <w:r>
        <w:rPr>
          <w:rFonts w:ascii="Arial" w:cs="Arial" w:eastAsia="Arial" w:hAnsi="Arial"/>
          <w:sz w:val="24"/>
          <w:szCs w:val="24"/>
        </w:rPr>
        <w:t xml:space="preserve">Graceful restart on code changes (SIGTERM, wait, SIGKILL).</w:t>
      </w:r>
    </w:p>
    <w:p>
      <w:pPr>
        <w:pStyle w:val="ListParagraph"/>
        <w:numPr>
          <w:ilvl w:val="0"/>
          <w:numId w:val="2"/>
        </w:numPr>
        <w:spacing w:after="120"/>
      </w:pPr>
      <w:r>
        <w:rPr>
          <w:rFonts w:ascii="Arial" w:cs="Arial" w:eastAsia="Arial" w:hAnsi="Arial"/>
          <w:sz w:val="24"/>
          <w:szCs w:val="24"/>
        </w:rPr>
        <w:t xml:space="preserve">Service discovery: register local endpoints so other services can find them.</w:t>
      </w:r>
    </w:p>
    <w:p>
      <w:pPr>
        <w:pStyle w:val="ListParagraph"/>
        <w:numPr>
          <w:ilvl w:val="0"/>
          <w:numId w:val="2"/>
        </w:numPr>
        <w:spacing w:after="120"/>
      </w:pPr>
      <w:r>
        <w:rPr>
          <w:rFonts w:ascii="Arial" w:cs="Arial" w:eastAsia="Arial" w:hAnsi="Arial"/>
          <w:sz w:val="24"/>
          <w:szCs w:val="24"/>
        </w:rPr>
        <w:t xml:space="preserve">Support for ECS services behind Application Load Balancers via the local HTTP server.</w:t>
      </w:r>
    </w:p>
    <w:p>
      <w:pPr>
        <w:pStyle w:val="Heading3"/>
      </w:pPr>
      <w:r>
        <w:t xml:space="preserve">2.4: Cognito Provider (Weeks 5–6)</w:t>
      </w:r>
    </w:p>
    <w:p>
      <w:pPr>
        <w:pStyle w:val="ListParagraph"/>
        <w:numPr>
          <w:ilvl w:val="0"/>
          <w:numId w:val="2"/>
        </w:numPr>
        <w:spacing w:after="120"/>
      </w:pPr>
      <w:r>
        <w:rPr>
          <w:rFonts w:ascii="Arial" w:cs="Arial" w:eastAsia="Arial" w:hAnsi="Arial"/>
          <w:sz w:val="24"/>
          <w:szCs w:val="24"/>
        </w:rPr>
        <w:t xml:space="preserve">Minimal local user pool: sign up, sign in, token generation (JWT).</w:t>
      </w:r>
    </w:p>
    <w:p>
      <w:pPr>
        <w:pStyle w:val="ListParagraph"/>
        <w:numPr>
          <w:ilvl w:val="0"/>
          <w:numId w:val="2"/>
        </w:numPr>
        <w:spacing w:after="120"/>
      </w:pPr>
      <w:r>
        <w:rPr>
          <w:rFonts w:ascii="Arial" w:cs="Arial" w:eastAsia="Arial" w:hAnsi="Arial"/>
          <w:sz w:val="24"/>
          <w:szCs w:val="24"/>
        </w:rPr>
        <w:t xml:space="preserve">API Gateway authorizer integration: validate tokens on protected routes.</w:t>
      </w:r>
    </w:p>
    <w:p>
      <w:pPr>
        <w:pStyle w:val="ListParagraph"/>
        <w:numPr>
          <w:ilvl w:val="0"/>
          <w:numId w:val="2"/>
        </w:numPr>
        <w:spacing w:after="120"/>
      </w:pPr>
      <w:r>
        <w:rPr>
          <w:rFonts w:ascii="Arial" w:cs="Arial" w:eastAsia="Arial" w:hAnsi="Arial"/>
          <w:sz w:val="24"/>
          <w:szCs w:val="24"/>
        </w:rPr>
        <w:t xml:space="preserve">Support for pre-authentication and post-confirmation Lambda triggers.</w:t>
      </w:r>
    </w:p>
    <w:p>
      <w:pPr>
        <w:pStyle w:val="ListParagraph"/>
        <w:numPr>
          <w:ilvl w:val="0"/>
          <w:numId w:val="2"/>
        </w:numPr>
        <w:spacing w:after="120"/>
      </w:pPr>
      <w:r>
        <w:rPr>
          <w:rFonts w:ascii="Arial" w:cs="Arial" w:eastAsia="Arial" w:hAnsi="Arial"/>
          <w:sz w:val="24"/>
          <w:szCs w:val="24"/>
        </w:rPr>
        <w:t xml:space="preserve">Note: Full Cognito fidelity is complex. The hybrid mode (pointing at real Cognito) should be prominently documented as the recommended approach for complex auth scenarios.</w:t>
      </w:r>
    </w:p>
    <w:p>
      <w:pPr>
        <w:pStyle w:val="Heading3"/>
      </w:pPr>
      <w:r>
        <w:t xml:space="preserve">2.5: Validation Engine (Weeks 6–8)</w:t>
      </w:r>
    </w:p>
    <w:p>
      <w:pPr>
        <w:pStyle w:val="ListParagraph"/>
        <w:numPr>
          <w:ilvl w:val="0"/>
          <w:numId w:val="2"/>
        </w:numPr>
        <w:spacing w:after="120"/>
      </w:pPr>
      <w:r>
        <w:rPr>
          <w:rFonts w:ascii="Arial" w:cs="Arial" w:eastAsia="Arial" w:hAnsi="Arial"/>
          <w:sz w:val="24"/>
          <w:szCs w:val="24"/>
        </w:rPr>
        <w:t xml:space="preserve">Parse IAM policy statements from CDK grant methods and CloudFormation.</w:t>
      </w:r>
    </w:p>
    <w:p>
      <w:pPr>
        <w:pStyle w:val="ListParagraph"/>
        <w:numPr>
          <w:ilvl w:val="0"/>
          <w:numId w:val="2"/>
        </w:numPr>
        <w:spacing w:after="120"/>
      </w:pPr>
      <w:r>
        <w:rPr>
          <w:rFonts w:ascii="Arial" w:cs="Arial" w:eastAsia="Arial" w:hAnsi="Arial"/>
          <w:sz w:val="24"/>
          <w:szCs w:val="24"/>
        </w:rPr>
        <w:t xml:space="preserve">Warn when a handler accesses a resource it does not have permission to (based on CDK grants).</w:t>
      </w:r>
    </w:p>
    <w:p>
      <w:pPr>
        <w:pStyle w:val="ListParagraph"/>
        <w:numPr>
          <w:ilvl w:val="0"/>
          <w:numId w:val="2"/>
        </w:numPr>
        <w:spacing w:after="120"/>
      </w:pPr>
      <w:r>
        <w:rPr>
          <w:rFonts w:ascii="Arial" w:cs="Arial" w:eastAsia="Arial" w:hAnsi="Arial"/>
          <w:sz w:val="24"/>
          <w:szCs w:val="24"/>
        </w:rPr>
        <w:t xml:space="preserve">Validate DynamoDB access patterns against declared key schemas and indexes.</w:t>
      </w:r>
    </w:p>
    <w:p>
      <w:pPr>
        <w:pStyle w:val="ListParagraph"/>
        <w:numPr>
          <w:ilvl w:val="0"/>
          <w:numId w:val="2"/>
        </w:numPr>
        <w:spacing w:after="120"/>
      </w:pPr>
      <w:r>
        <w:rPr>
          <w:rFonts w:ascii="Arial" w:cs="Arial" w:eastAsia="Arial" w:hAnsi="Arial"/>
          <w:sz w:val="24"/>
          <w:szCs w:val="24"/>
        </w:rPr>
        <w:t xml:space="preserve">Validate environment variable references against actual resource outputs.</w:t>
      </w:r>
    </w:p>
    <w:p>
      <w:pPr>
        <w:pStyle w:val="ListParagraph"/>
        <w:numPr>
          <w:ilvl w:val="0"/>
          <w:numId w:val="2"/>
        </w:numPr>
        <w:spacing w:after="120"/>
      </w:pPr>
      <w:r>
        <w:rPr>
          <w:rFonts w:ascii="Arial" w:cs="Arial" w:eastAsia="Arial" w:hAnsi="Arial"/>
          <w:sz w:val="24"/>
          <w:szCs w:val="24"/>
        </w:rPr>
        <w:t xml:space="preserve">Configurable strictness: warn mode (default) or strict mode (fail on validation errors).</w:t>
      </w:r>
    </w:p>
    <w:p>
      <w:pPr>
        <w:pStyle w:val="Heading2"/>
      </w:pPr>
      <w:r>
        <w:t xml:space="preserve">Phase 2 Exit Criteria</w:t>
      </w:r>
    </w:p>
    <w:p>
      <w:pPr>
        <w:spacing w:after="200"/>
      </w:pPr>
      <w:r>
        <w:rPr>
          <w:rFonts w:ascii="Arial" w:cs="Arial" w:eastAsia="Arial" w:hAnsi="Arial"/>
          <w:sz w:val="24"/>
          <w:szCs w:val="24"/>
        </w:rPr>
        <w:t xml:space="preserve">LDK supports complex event-driven architectures including Step Functions workflows, EventBridge rules, scheduled tasks, and ECS services. The validation engine catches common infrastructure-code mismatches during development. LDK is usable for the majority of serverless and container-based applications built with CDK.</w:t>
      </w:r>
    </w:p>
    <w:p>
      <w:r>
        <w:br w:type="page"/>
      </w:r>
    </w:p>
    <w:p>
      <w:pPr>
        <w:pStyle w:val="Heading1"/>
      </w:pPr>
      <w:r>
        <w:t xml:space="preserve">Phase 3: Ecosystem and Polish</w:t>
      </w:r>
    </w:p>
    <w:p>
      <w:pPr>
        <w:pStyle w:val="Heading2"/>
      </w:pPr>
      <w:r>
        <w:t xml:space="preserve">Goal</w:t>
      </w:r>
    </w:p>
    <w:p>
      <w:pPr>
        <w:spacing w:after="200"/>
      </w:pPr>
      <w:r>
        <w:rPr>
          <w:rFonts w:ascii="Arial" w:cs="Arial" w:eastAsia="Arial" w:hAnsi="Arial"/>
          <w:sz w:val="24"/>
          <w:szCs w:val="24"/>
        </w:rPr>
        <w:t xml:space="preserve">Make LDK production-ready for open-source release. Focus on documentation, testing, cross-platform support, performance, and community readiness.</w:t>
      </w:r>
    </w:p>
    <w:p>
      <w:pPr>
        <w:pStyle w:val="Heading2"/>
      </w:pPr>
      <w:r>
        <w:t xml:space="preserve">Duration</w:t>
      </w:r>
    </w:p>
    <w:p>
      <w:pPr>
        <w:spacing w:after="200"/>
      </w:pPr>
      <w:r>
        <w:rPr>
          <w:rFonts w:ascii="Arial" w:cs="Arial" w:eastAsia="Arial" w:hAnsi="Arial"/>
          <w:sz w:val="24"/>
          <w:szCs w:val="24"/>
        </w:rPr>
        <w:t xml:space="preserve">4–6 weeks.</w:t>
      </w:r>
    </w:p>
    <w:p>
      <w:pPr>
        <w:pStyle w:val="Heading2"/>
      </w:pPr>
      <w:r>
        <w:t xml:space="preserve">Deliverables</w:t>
      </w:r>
    </w:p>
    <w:p>
      <w:pPr>
        <w:pStyle w:val="Heading3"/>
      </w:pPr>
      <w:r>
        <w:t xml:space="preserve">3.1: Cross-Platform and Language Support (Weeks 1–2)</w:t>
      </w:r>
    </w:p>
    <w:p>
      <w:pPr>
        <w:pStyle w:val="ListParagraph"/>
        <w:numPr>
          <w:ilvl w:val="0"/>
          <w:numId w:val="2"/>
        </w:numPr>
        <w:spacing w:after="120"/>
      </w:pPr>
      <w:r>
        <w:rPr>
          <w:rFonts w:ascii="Arial" w:cs="Arial" w:eastAsia="Arial" w:hAnsi="Arial"/>
          <w:sz w:val="24"/>
          <w:szCs w:val="24"/>
        </w:rPr>
        <w:t xml:space="preserve">Verify and fix behavior on macOS, Linux, and Windows.</w:t>
      </w:r>
    </w:p>
    <w:p>
      <w:pPr>
        <w:pStyle w:val="ListParagraph"/>
        <w:numPr>
          <w:ilvl w:val="0"/>
          <w:numId w:val="2"/>
        </w:numPr>
        <w:spacing w:after="120"/>
      </w:pPr>
      <w:r>
        <w:rPr>
          <w:rFonts w:ascii="Arial" w:cs="Arial" w:eastAsia="Arial" w:hAnsi="Arial"/>
          <w:sz w:val="24"/>
          <w:szCs w:val="24"/>
        </w:rPr>
        <w:t xml:space="preserve">Test cloud assembly parsing with CDK apps written in TypeScript, Python, Java, C#, and Go.</w:t>
      </w:r>
    </w:p>
    <w:p>
      <w:pPr>
        <w:pStyle w:val="ListParagraph"/>
        <w:numPr>
          <w:ilvl w:val="0"/>
          <w:numId w:val="2"/>
        </w:numPr>
        <w:spacing w:after="120"/>
      </w:pPr>
      <w:r>
        <w:rPr>
          <w:rFonts w:ascii="Arial" w:cs="Arial" w:eastAsia="Arial" w:hAnsi="Arial"/>
          <w:sz w:val="24"/>
          <w:szCs w:val="24"/>
        </w:rPr>
        <w:t xml:space="preserve">Add Lambda execution envelopes for Java and .NET (via subprocess).</w:t>
      </w:r>
    </w:p>
    <w:p>
      <w:pPr>
        <w:pStyle w:val="ListParagraph"/>
        <w:numPr>
          <w:ilvl w:val="0"/>
          <w:numId w:val="2"/>
        </w:numPr>
        <w:spacing w:after="120"/>
      </w:pPr>
      <w:r>
        <w:rPr>
          <w:rFonts w:ascii="Arial" w:cs="Arial" w:eastAsia="Arial" w:hAnsi="Arial"/>
          <w:sz w:val="24"/>
          <w:szCs w:val="24"/>
        </w:rPr>
        <w:t xml:space="preserve">Verify SDK endpoint redirection works with AWS SDK v2 and v3 for JavaScript, boto3 for Python, and the Java/C# SDKs.</w:t>
      </w:r>
    </w:p>
    <w:p>
      <w:pPr>
        <w:pStyle w:val="Heading3"/>
      </w:pPr>
      <w:r>
        <w:t xml:space="preserve">3.2: Performance Optimization (Weeks 2–3)</w:t>
      </w:r>
    </w:p>
    <w:p>
      <w:pPr>
        <w:pStyle w:val="ListParagraph"/>
        <w:numPr>
          <w:ilvl w:val="0"/>
          <w:numId w:val="2"/>
        </w:numPr>
        <w:spacing w:after="120"/>
      </w:pPr>
      <w:r>
        <w:rPr>
          <w:rFonts w:ascii="Arial" w:cs="Arial" w:eastAsia="Arial" w:hAnsi="Arial"/>
          <w:sz w:val="24"/>
          <w:szCs w:val="24"/>
        </w:rPr>
        <w:t xml:space="preserve">Benchmark and optimize cold start time. Target: ldk dev to first-request-ready in under 5 seconds for a 10-resource app.</w:t>
      </w:r>
    </w:p>
    <w:p>
      <w:pPr>
        <w:pStyle w:val="ListParagraph"/>
        <w:numPr>
          <w:ilvl w:val="0"/>
          <w:numId w:val="2"/>
        </w:numPr>
        <w:spacing w:after="120"/>
      </w:pPr>
      <w:r>
        <w:rPr>
          <w:rFonts w:ascii="Arial" w:cs="Arial" w:eastAsia="Arial" w:hAnsi="Arial"/>
          <w:sz w:val="24"/>
          <w:szCs w:val="24"/>
        </w:rPr>
        <w:t xml:space="preserve">Optimize hot reload latency. Target: code change to next invocation using new code in under 200ms.</w:t>
      </w:r>
    </w:p>
    <w:p>
      <w:pPr>
        <w:pStyle w:val="ListParagraph"/>
        <w:numPr>
          <w:ilvl w:val="0"/>
          <w:numId w:val="2"/>
        </w:numPr>
        <w:spacing w:after="120"/>
      </w:pPr>
      <w:r>
        <w:rPr>
          <w:rFonts w:ascii="Arial" w:cs="Arial" w:eastAsia="Arial" w:hAnsi="Arial"/>
          <w:sz w:val="24"/>
          <w:szCs w:val="24"/>
        </w:rPr>
        <w:t xml:space="preserve">Optimize DynamoDB provider query performance for large datasets.</w:t>
      </w:r>
    </w:p>
    <w:p>
      <w:pPr>
        <w:pStyle w:val="ListParagraph"/>
        <w:numPr>
          <w:ilvl w:val="0"/>
          <w:numId w:val="2"/>
        </w:numPr>
        <w:spacing w:after="120"/>
      </w:pPr>
      <w:r>
        <w:rPr>
          <w:rFonts w:ascii="Arial" w:cs="Arial" w:eastAsia="Arial" w:hAnsi="Arial"/>
          <w:sz w:val="24"/>
          <w:szCs w:val="24"/>
        </w:rPr>
        <w:t xml:space="preserve">Lazy initialization: only start providers when their first request arrives, rather than all at startup.</w:t>
      </w:r>
    </w:p>
    <w:p>
      <w:pPr>
        <w:pStyle w:val="Heading3"/>
      </w:pPr>
      <w:r>
        <w:t xml:space="preserve">3.3: Documentation and Examples (Weeks 3–4)</w:t>
      </w:r>
    </w:p>
    <w:p>
      <w:pPr>
        <w:pStyle w:val="ListParagraph"/>
        <w:numPr>
          <w:ilvl w:val="0"/>
          <w:numId w:val="2"/>
        </w:numPr>
        <w:spacing w:after="120"/>
      </w:pPr>
      <w:r>
        <w:rPr>
          <w:rFonts w:ascii="Arial" w:cs="Arial" w:eastAsia="Arial" w:hAnsi="Arial"/>
          <w:sz w:val="24"/>
          <w:szCs w:val="24"/>
        </w:rPr>
        <w:t xml:space="preserve">Comprehensive getting-started guide with a sample CDK application.</w:t>
      </w:r>
    </w:p>
    <w:p>
      <w:pPr>
        <w:pStyle w:val="ListParagraph"/>
        <w:numPr>
          <w:ilvl w:val="0"/>
          <w:numId w:val="2"/>
        </w:numPr>
        <w:spacing w:after="120"/>
      </w:pPr>
      <w:r>
        <w:rPr>
          <w:rFonts w:ascii="Arial" w:cs="Arial" w:eastAsia="Arial" w:hAnsi="Arial"/>
          <w:sz w:val="24"/>
          <w:szCs w:val="24"/>
        </w:rPr>
        <w:t xml:space="preserve">Provider reference: what is supported, what is not, and how to configure alternatives.</w:t>
      </w:r>
    </w:p>
    <w:p>
      <w:pPr>
        <w:pStyle w:val="ListParagraph"/>
        <w:numPr>
          <w:ilvl w:val="0"/>
          <w:numId w:val="2"/>
        </w:numPr>
        <w:spacing w:after="120"/>
      </w:pPr>
      <w:r>
        <w:rPr>
          <w:rFonts w:ascii="Arial" w:cs="Arial" w:eastAsia="Arial" w:hAnsi="Arial"/>
          <w:sz w:val="24"/>
          <w:szCs w:val="24"/>
        </w:rPr>
        <w:t xml:space="preserve">Configuration reference for ldk.config.ts.</w:t>
      </w:r>
    </w:p>
    <w:p>
      <w:pPr>
        <w:pStyle w:val="ListParagraph"/>
        <w:numPr>
          <w:ilvl w:val="0"/>
          <w:numId w:val="2"/>
        </w:numPr>
        <w:spacing w:after="120"/>
      </w:pPr>
      <w:r>
        <w:rPr>
          <w:rFonts w:ascii="Arial" w:cs="Arial" w:eastAsia="Arial" w:hAnsi="Arial"/>
          <w:sz w:val="24"/>
          <w:szCs w:val="24"/>
        </w:rPr>
        <w:t xml:space="preserve">Migration guide for teams currently using LocalStack, SST, or SAM Local.</w:t>
      </w:r>
    </w:p>
    <w:p>
      <w:pPr>
        <w:pStyle w:val="ListParagraph"/>
        <w:numPr>
          <w:ilvl w:val="0"/>
          <w:numId w:val="2"/>
        </w:numPr>
        <w:spacing w:after="120"/>
      </w:pPr>
      <w:r>
        <w:rPr>
          <w:rFonts w:ascii="Arial" w:cs="Arial" w:eastAsia="Arial" w:hAnsi="Arial"/>
          <w:sz w:val="24"/>
          <w:szCs w:val="24"/>
        </w:rPr>
        <w:t xml:space="preserve">Example applications: REST API, event-driven pipeline, Step Functions workflow, ECS service.</w:t>
      </w:r>
    </w:p>
    <w:p>
      <w:pPr>
        <w:pStyle w:val="ListParagraph"/>
        <w:numPr>
          <w:ilvl w:val="0"/>
          <w:numId w:val="2"/>
        </w:numPr>
        <w:spacing w:after="120"/>
      </w:pPr>
      <w:r>
        <w:rPr>
          <w:rFonts w:ascii="Arial" w:cs="Arial" w:eastAsia="Arial" w:hAnsi="Arial"/>
          <w:sz w:val="24"/>
          <w:szCs w:val="24"/>
        </w:rPr>
        <w:t xml:space="preserve">Contributing guide for community provider development.</w:t>
      </w:r>
    </w:p>
    <w:p>
      <w:pPr>
        <w:pStyle w:val="Heading3"/>
      </w:pPr>
      <w:r>
        <w:t xml:space="preserve">3.4: Testing and Quality (Weeks 4–5)</w:t>
      </w:r>
    </w:p>
    <w:p>
      <w:pPr>
        <w:pStyle w:val="ListParagraph"/>
        <w:numPr>
          <w:ilvl w:val="0"/>
          <w:numId w:val="2"/>
        </w:numPr>
        <w:spacing w:after="120"/>
      </w:pPr>
      <w:r>
        <w:rPr>
          <w:rFonts w:ascii="Arial" w:cs="Arial" w:eastAsia="Arial" w:hAnsi="Arial"/>
          <w:sz w:val="24"/>
          <w:szCs w:val="24"/>
        </w:rPr>
        <w:t xml:space="preserve">Integration test suite covering all providers against real CDK apps.</w:t>
      </w:r>
    </w:p>
    <w:p>
      <w:pPr>
        <w:pStyle w:val="ListParagraph"/>
        <w:numPr>
          <w:ilvl w:val="0"/>
          <w:numId w:val="2"/>
        </w:numPr>
        <w:spacing w:after="120"/>
      </w:pPr>
      <w:r>
        <w:rPr>
          <w:rFonts w:ascii="Arial" w:cs="Arial" w:eastAsia="Arial" w:hAnsi="Arial"/>
          <w:sz w:val="24"/>
          <w:szCs w:val="24"/>
        </w:rPr>
        <w:t xml:space="preserve">Cross-CDK-version compatibility tests (test against last 3 CDK major/minor versions).</w:t>
      </w:r>
    </w:p>
    <w:p>
      <w:pPr>
        <w:pStyle w:val="ListParagraph"/>
        <w:numPr>
          <w:ilvl w:val="0"/>
          <w:numId w:val="2"/>
        </w:numPr>
        <w:spacing w:after="120"/>
      </w:pPr>
      <w:r>
        <w:rPr>
          <w:rFonts w:ascii="Arial" w:cs="Arial" w:eastAsia="Arial" w:hAnsi="Arial"/>
          <w:sz w:val="24"/>
          <w:szCs w:val="24"/>
        </w:rPr>
        <w:t xml:space="preserve">Snapshot testing: capture expected local behavior for a set of reference CDK apps, detect regressions.</w:t>
      </w:r>
    </w:p>
    <w:p>
      <w:pPr>
        <w:pStyle w:val="ListParagraph"/>
        <w:numPr>
          <w:ilvl w:val="0"/>
          <w:numId w:val="2"/>
        </w:numPr>
        <w:spacing w:after="120"/>
      </w:pPr>
      <w:r>
        <w:rPr>
          <w:rFonts w:ascii="Arial" w:cs="Arial" w:eastAsia="Arial" w:hAnsi="Arial"/>
          <w:sz w:val="24"/>
          <w:szCs w:val="24"/>
        </w:rPr>
        <w:t xml:space="preserve">Performance regression tests in CI.</w:t>
      </w:r>
    </w:p>
    <w:p>
      <w:pPr>
        <w:pStyle w:val="Heading3"/>
      </w:pPr>
      <w:r>
        <w:t xml:space="preserve">3.5: Open Source Readiness (Weeks 5–6)</w:t>
      </w:r>
    </w:p>
    <w:p>
      <w:pPr>
        <w:pStyle w:val="ListParagraph"/>
        <w:numPr>
          <w:ilvl w:val="0"/>
          <w:numId w:val="2"/>
        </w:numPr>
        <w:spacing w:after="120"/>
      </w:pPr>
      <w:r>
        <w:rPr>
          <w:rFonts w:ascii="Arial" w:cs="Arial" w:eastAsia="Arial" w:hAnsi="Arial"/>
          <w:sz w:val="24"/>
          <w:szCs w:val="24"/>
        </w:rPr>
        <w:t xml:space="preserve">License selection (recommend MIT or Apache 2.0 for maximum adoption).</w:t>
      </w:r>
    </w:p>
    <w:p>
      <w:pPr>
        <w:pStyle w:val="ListParagraph"/>
        <w:numPr>
          <w:ilvl w:val="0"/>
          <w:numId w:val="2"/>
        </w:numPr>
        <w:spacing w:after="120"/>
      </w:pPr>
      <w:r>
        <w:rPr>
          <w:rFonts w:ascii="Arial" w:cs="Arial" w:eastAsia="Arial" w:hAnsi="Arial"/>
          <w:sz w:val="24"/>
          <w:szCs w:val="24"/>
        </w:rPr>
        <w:t xml:space="preserve">GitHub repository setup with issue templates, PR templates, and CI/CD workflows.</w:t>
      </w:r>
    </w:p>
    <w:p>
      <w:pPr>
        <w:pStyle w:val="ListParagraph"/>
        <w:numPr>
          <w:ilvl w:val="0"/>
          <w:numId w:val="2"/>
        </w:numPr>
        <w:spacing w:after="120"/>
      </w:pPr>
      <w:r>
        <w:rPr>
          <w:rFonts w:ascii="Arial" w:cs="Arial" w:eastAsia="Arial" w:hAnsi="Arial"/>
          <w:sz w:val="24"/>
          <w:szCs w:val="24"/>
        </w:rPr>
        <w:t xml:space="preserve">npm package publishing pipeline for @ldk/cli and @ldk/core.</w:t>
      </w:r>
    </w:p>
    <w:p>
      <w:pPr>
        <w:pStyle w:val="ListParagraph"/>
        <w:numPr>
          <w:ilvl w:val="0"/>
          <w:numId w:val="2"/>
        </w:numPr>
        <w:spacing w:after="120"/>
      </w:pPr>
      <w:r>
        <w:rPr>
          <w:rFonts w:ascii="Arial" w:cs="Arial" w:eastAsia="Arial" w:hAnsi="Arial"/>
          <w:sz w:val="24"/>
          <w:szCs w:val="24"/>
        </w:rPr>
        <w:t xml:space="preserve">Landing page and documentation site (ldk.dev).</w:t>
      </w:r>
    </w:p>
    <w:p>
      <w:pPr>
        <w:pStyle w:val="ListParagraph"/>
        <w:numPr>
          <w:ilvl w:val="0"/>
          <w:numId w:val="2"/>
        </w:numPr>
        <w:spacing w:after="120"/>
      </w:pPr>
      <w:r>
        <w:rPr>
          <w:rFonts w:ascii="Arial" w:cs="Arial" w:eastAsia="Arial" w:hAnsi="Arial"/>
          <w:sz w:val="24"/>
          <w:szCs w:val="24"/>
        </w:rPr>
        <w:t xml:space="preserve">Launch blog post explaining the concept, the approach, and how it differs from existing tools.</w:t>
      </w:r>
    </w:p>
    <w:p>
      <w:r>
        <w:br w:type="page"/>
      </w:r>
    </w:p>
    <w:p>
      <w:pPr>
        <w:pStyle w:val="Heading1"/>
      </w:pPr>
      <w:r>
        <w:t xml:space="preserve">Phase 4: Community and Growth</w:t>
      </w:r>
    </w:p>
    <w:p>
      <w:pPr>
        <w:pStyle w:val="Heading2"/>
      </w:pPr>
      <w:r>
        <w:t xml:space="preserve">Goal</w:t>
      </w:r>
    </w:p>
    <w:p>
      <w:pPr>
        <w:spacing w:after="200"/>
      </w:pPr>
      <w:r>
        <w:rPr>
          <w:rFonts w:ascii="Arial" w:cs="Arial" w:eastAsia="Arial" w:hAnsi="Arial"/>
          <w:sz w:val="24"/>
          <w:szCs w:val="24"/>
        </w:rPr>
        <w:t xml:space="preserve">Post-launch activities focused on growing adoption, responding to community feedback, and extending the provider ecosystem.</w:t>
      </w:r>
    </w:p>
    <w:p>
      <w:pPr>
        <w:pStyle w:val="Heading2"/>
      </w:pPr>
      <w:r>
        <w:t xml:space="preserve">Duration</w:t>
      </w:r>
    </w:p>
    <w:p>
      <w:pPr>
        <w:spacing w:after="200"/>
      </w:pPr>
      <w:r>
        <w:rPr>
          <w:rFonts w:ascii="Arial" w:cs="Arial" w:eastAsia="Arial" w:hAnsi="Arial"/>
          <w:sz w:val="24"/>
          <w:szCs w:val="24"/>
        </w:rPr>
        <w:t xml:space="preserve">Ongoing.</w:t>
      </w:r>
    </w:p>
    <w:p>
      <w:pPr>
        <w:pStyle w:val="Heading2"/>
      </w:pPr>
      <w:r>
        <w:t xml:space="preserve">Activities</w:t>
      </w:r>
    </w:p>
    <w:p>
      <w:pPr>
        <w:pStyle w:val="Heading3"/>
      </w:pPr>
      <w:r>
        <w:t xml:space="preserve">Community Providers</w:t>
      </w:r>
    </w:p>
    <w:p>
      <w:pPr>
        <w:spacing w:after="200"/>
      </w:pPr>
      <w:r>
        <w:rPr>
          <w:rFonts w:ascii="Arial" w:cs="Arial" w:eastAsia="Arial" w:hAnsi="Arial"/>
          <w:sz w:val="24"/>
          <w:szCs w:val="24"/>
        </w:rPr>
        <w:t xml:space="preserve">Establish the provider plugin API and encourage community contributions for less common AWS services. Maintain a registry of community providers on the documentation site.</w:t>
      </w:r>
    </w:p>
    <w:p>
      <w:pPr>
        <w:pStyle w:val="Heading3"/>
      </w:pPr>
      <w:r>
        <w:t xml:space="preserve">CDK L3 Construct Integration</w:t>
      </w:r>
    </w:p>
    <w:p>
      <w:pPr>
        <w:spacing w:after="200"/>
      </w:pPr>
      <w:r>
        <w:rPr>
          <w:rFonts w:ascii="Arial" w:cs="Arial" w:eastAsia="Arial" w:hAnsi="Arial"/>
          <w:sz w:val="24"/>
          <w:szCs w:val="24"/>
        </w:rPr>
        <w:t xml:space="preserve">Popular CDK L3 constructs (like aws-solutions-constructs) create complex resource topologies. Work with construct library authors to ensure LDK correctly interprets their constructs, or provide construct-specific overrides.</w:t>
      </w:r>
    </w:p>
    <w:p>
      <w:pPr>
        <w:pStyle w:val="Heading3"/>
      </w:pPr>
      <w:r>
        <w:t xml:space="preserve">Non-CDK Support (Future)</w:t>
      </w:r>
    </w:p>
    <w:p>
      <w:pPr>
        <w:spacing w:after="200"/>
      </w:pPr>
      <w:r>
        <w:rPr>
          <w:rFonts w:ascii="Arial" w:cs="Arial" w:eastAsia="Arial" w:hAnsi="Arial"/>
          <w:sz w:val="24"/>
          <w:szCs w:val="24"/>
        </w:rPr>
        <w:t xml:space="preserve">Evaluate feasibility of supporting Terraform (via terraform show -json) and SAM templates as additional input formats. This would significantly expand the addressable market but is a distinct engineering effort.</w:t>
      </w:r>
    </w:p>
    <w:p>
      <w:pPr>
        <w:pStyle w:val="Heading3"/>
      </w:pPr>
      <w:r>
        <w:t xml:space="preserve">Visual Application Graph</w:t>
      </w:r>
    </w:p>
    <w:p>
      <w:pPr>
        <w:spacing w:after="200"/>
      </w:pPr>
      <w:r>
        <w:rPr>
          <w:rFonts w:ascii="Arial" w:cs="Arial" w:eastAsia="Arial" w:hAnsi="Arial"/>
          <w:sz w:val="24"/>
          <w:szCs w:val="24"/>
        </w:rPr>
        <w:t xml:space="preserve">A web-based UI (served locally by ldk dev) that shows the application graph, live event flow, resource state, and handler logs. This would differentiate LDK as not just a runtime but a development-time observability tool.</w:t>
      </w:r>
    </w:p>
    <w:p>
      <w:pPr>
        <w:pStyle w:val="Heading3"/>
      </w:pPr>
      <w:r>
        <w:t xml:space="preserve">Cloud Comparison Mode</w:t>
      </w:r>
    </w:p>
    <w:p>
      <w:pPr>
        <w:spacing w:after="200"/>
      </w:pPr>
      <w:r>
        <w:rPr>
          <w:rFonts w:ascii="Arial" w:cs="Arial" w:eastAsia="Arial" w:hAnsi="Arial"/>
          <w:sz w:val="24"/>
          <w:szCs w:val="24"/>
        </w:rPr>
        <w:t xml:space="preserve">A mode where LDK runs the same request against both the local environment and a deployed AWS environment, comparing the responses and flagging differences. This would help developers build confidence in local fidelity and identify areas where provider implementations need improvement.</w:t>
      </w:r>
    </w:p>
    <w:p>
      <w:r>
        <w:br w:type="page"/>
      </w:r>
    </w:p>
    <w:p>
      <w:pPr>
        <w:pStyle w:val="Heading1"/>
      </w:pPr>
      <w:r>
        <w:t xml:space="preserve">Phase 5: Cloud-Portable Runtime (Long-Term)</w:t>
      </w:r>
    </w:p>
    <w:p>
      <w:pPr>
        <w:pStyle w:val="Heading2"/>
      </w:pPr>
      <w:r>
        <w:t xml:space="preserve">Goal</w:t>
      </w:r>
    </w:p>
    <w:p>
      <w:pPr>
        <w:spacing w:after="200"/>
      </w:pPr>
      <w:r>
        <w:rPr>
          <w:rFonts w:ascii="Arial" w:cs="Arial" w:eastAsia="Arial" w:hAnsi="Arial"/>
          <w:sz w:val="24"/>
          <w:szCs w:val="24"/>
        </w:rPr>
        <w:t xml:space="preserve">Leverage the provider abstraction built in Phases 0–2 to enable production deployment of LDK applications to non-AWS infrastructure. The same application, described once in CDK, can be deployed to a VPS with open-source backing services instead of AWS managed services. This transforms LDK from a development tool into a deployment platform.</w:t>
      </w:r>
    </w:p>
    <w:p>
      <w:pPr>
        <w:pStyle w:val="Heading2"/>
      </w:pPr>
      <w:r>
        <w:t xml:space="preserve">Duration</w:t>
      </w:r>
    </w:p>
    <w:p>
      <w:pPr>
        <w:spacing w:after="200"/>
      </w:pPr>
      <w:r>
        <w:rPr>
          <w:rFonts w:ascii="Arial" w:cs="Arial" w:eastAsia="Arial" w:hAnsi="Arial"/>
          <w:sz w:val="24"/>
          <w:szCs w:val="24"/>
        </w:rPr>
        <w:t xml:space="preserve">12+ weeks. This is an ongoing, incremental effort that builds on the provider interface established from day one.</w:t>
      </w:r>
    </w:p>
    <w:p>
      <w:pPr>
        <w:pStyle w:val="Heading2"/>
      </w:pPr>
      <w:r>
        <w:t xml:space="preserve">Prerequisites</w:t>
      </w:r>
    </w:p>
    <w:p>
      <w:pPr>
        <w:spacing w:after="200"/>
      </w:pPr>
      <w:r>
        <w:rPr>
          <w:rFonts w:ascii="Arial" w:cs="Arial" w:eastAsia="Arial" w:hAnsi="Arial"/>
          <w:sz w:val="24"/>
          <w:szCs w:val="24"/>
        </w:rPr>
        <w:t xml:space="preserve">This phase is only viable because the abstract provider interfaces were defined in Phase 0 and every provider built in Phases 1–2 implements them. No core architecture changes are needed — only new provider implementations and a deployment mechanism.</w:t>
      </w:r>
    </w:p>
    <w:p>
      <w:pPr>
        <w:pStyle w:val="Heading2"/>
      </w:pPr>
      <w:r>
        <w:t xml:space="preserve">Deliverables</w:t>
      </w:r>
    </w:p>
    <w:p>
      <w:pPr>
        <w:pStyle w:val="Heading3"/>
      </w:pPr>
      <w:r>
        <w:t xml:space="preserve">5.1: Production Provider Implementations</w:t>
      </w:r>
    </w:p>
    <w:p>
      <w:pPr>
        <w:spacing w:after="200"/>
      </w:pPr>
      <w:r>
        <w:rPr>
          <w:rFonts w:ascii="Arial" w:cs="Arial" w:eastAsia="Arial" w:hAnsi="Arial"/>
          <w:sz w:val="24"/>
          <w:szCs w:val="24"/>
        </w:rPr>
        <w:t xml:space="preserve">Build production-grade providers that implement the same interfaces as the local development providers but target durable, self-hosted infrastructure: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3000"/>
        <w:gridCol w:w="4160"/>
      </w:tblGrid>
      <w:tr>
        <w:tc>
          <w:tcPr>
            <w:tcW w:type="dxa" w:w="2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1"/>
                <w:szCs w:val="21"/>
              </w:rPr>
              <w:t xml:space="preserve">Interface</w:t>
            </w:r>
          </w:p>
        </w:tc>
        <w:tc>
          <w:tcPr>
            <w:tcW w:type="dxa" w:w="30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1"/>
                <w:szCs w:val="21"/>
              </w:rPr>
              <w:t xml:space="preserve">Local Dev Provider</w:t>
            </w:r>
          </w:p>
        </w:tc>
        <w:tc>
          <w:tcPr>
            <w:tcW w:type="dxa" w:w="41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1"/>
                <w:szCs w:val="21"/>
              </w:rPr>
              <w:t xml:space="preserve">Production VPS Provider</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IKeyValueStore</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SQLite</w:t>
            </w:r>
          </w:p>
        </w:tc>
        <w:tc>
          <w:tcPr>
            <w:tcW w:type="dxa" w:w="4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PostgreSQL (with DynamoDB-compatible query translation)</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IQueue</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In-memory</w:t>
            </w:r>
          </w:p>
        </w:tc>
        <w:tc>
          <w:tcPr>
            <w:tcW w:type="dxa" w:w="4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Kafka, RabbitMQ, or Redis Streams</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IObjectStore</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Local filesystem</w:t>
            </w:r>
          </w:p>
        </w:tc>
        <w:tc>
          <w:tcPr>
            <w:tcW w:type="dxa" w:w="4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MinIO (S3-compatible object storage)</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IEventBus</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Local event emitter</w:t>
            </w:r>
          </w:p>
        </w:tc>
        <w:tc>
          <w:tcPr>
            <w:tcW w:type="dxa" w:w="4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NATS, Redis Pub/Sub, or Kafka topics</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IStateMachine</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Local executor</w:t>
            </w:r>
          </w:p>
        </w:tc>
        <w:tc>
          <w:tcPr>
            <w:tcW w:type="dxa" w:w="4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Temporal (workflow orchestration)</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ICompute (Lambda)</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Direct function call</w:t>
            </w:r>
          </w:p>
        </w:tc>
        <w:tc>
          <w:tcPr>
            <w:tcW w:type="dxa" w:w="4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Docker container with handler wrapper</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ICompute (ECS)</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Local process</w:t>
            </w:r>
          </w:p>
        </w:tc>
        <w:tc>
          <w:tcPr>
            <w:tcW w:type="dxa" w:w="4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Docker Compose or Kubernetes pod</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HTTP Ingress</w:t>
            </w:r>
          </w:p>
        </w:tc>
        <w:tc>
          <w:tcPr>
            <w:tcW w:type="dxa" w:w="30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Fastify</w:t>
            </w:r>
          </w:p>
        </w:tc>
        <w:tc>
          <w:tcPr>
            <w:tcW w:type="dxa" w:w="4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Nginx or Caddy with reverse proxy config</w:t>
            </w:r>
          </w:p>
        </w:tc>
      </w:tr>
    </w:tbl>
    <w:p>
      <w:pPr>
        <w:spacing w:after="200"/>
      </w:pPr>
    </w:p>
    <w:p>
      <w:pPr>
        <w:pStyle w:val="Heading3"/>
      </w:pPr>
      <w:r>
        <w:t xml:space="preserve">5.2: ldk deploy Command</w:t>
      </w:r>
    </w:p>
    <w:p>
      <w:pPr>
        <w:spacing w:after="200"/>
      </w:pPr>
      <w:r>
        <w:rPr>
          <w:rFonts w:ascii="Arial" w:cs="Arial" w:eastAsia="Arial" w:hAnsi="Arial"/>
          <w:sz w:val="24"/>
          <w:szCs w:val="24"/>
        </w:rPr>
        <w:t xml:space="preserve">A new CLI command that reads the same CDK cloud assembly and, instead of starting local services, generates the deployment artifacts for a target environment:</w:t>
      </w:r>
    </w:p>
    <w:p>
      <w:pPr>
        <w:pStyle w:val="ListParagraph"/>
        <w:numPr>
          <w:ilvl w:val="0"/>
          <w:numId w:val="2"/>
        </w:numPr>
        <w:spacing w:after="120"/>
      </w:pPr>
      <w:r>
        <w:rPr>
          <w:rFonts w:ascii="Arial" w:cs="Arial" w:eastAsia="Arial" w:hAnsi="Arial"/>
          <w:sz w:val="24"/>
          <w:szCs w:val="24"/>
        </w:rPr>
        <w:t xml:space="preserve">ldk deploy --target vps: Generates a Docker Compose file (or Kubernetes manifests) with the appropriate containers, volumes, networking, and environment variables for the configured production providers.</w:t>
      </w:r>
    </w:p>
    <w:p>
      <w:pPr>
        <w:pStyle w:val="ListParagraph"/>
        <w:numPr>
          <w:ilvl w:val="0"/>
          <w:numId w:val="2"/>
        </w:numPr>
        <w:spacing w:after="120"/>
      </w:pPr>
      <w:r>
        <w:rPr>
          <w:rFonts w:ascii="Arial" w:cs="Arial" w:eastAsia="Arial" w:hAnsi="Arial"/>
          <w:sz w:val="24"/>
          <w:szCs w:val="24"/>
        </w:rPr>
        <w:t xml:space="preserve">ldk deploy --target hybrid: Deploys some services to AWS (via CDK) and others to self-hosted infrastructure, based on the provider configuration.</w:t>
      </w:r>
    </w:p>
    <w:p>
      <w:pPr>
        <w:pStyle w:val="ListParagraph"/>
        <w:numPr>
          <w:ilvl w:val="0"/>
          <w:numId w:val="2"/>
        </w:numPr>
        <w:spacing w:after="120"/>
      </w:pPr>
      <w:r>
        <w:rPr>
          <w:rFonts w:ascii="Arial" w:cs="Arial" w:eastAsia="Arial" w:hAnsi="Arial"/>
          <w:sz w:val="24"/>
          <w:szCs w:val="24"/>
        </w:rPr>
        <w:t xml:space="preserve">The deployment target and provider mapping is configured in ldk.config.ts using the same provider configuration surface that already exists for local development.</w:t>
      </w:r>
    </w:p>
    <w:p>
      <w:pPr>
        <w:pStyle w:val="Heading3"/>
      </w:pPr>
      <w:r>
        <w:t xml:space="preserve">5.3: Provider Configuration for Deployment</w:t>
      </w:r>
    </w:p>
    <w:p>
      <w:pPr>
        <w:spacing w:after="200"/>
      </w:pPr>
      <w:r>
        <w:rPr>
          <w:rFonts w:ascii="Arial" w:cs="Arial" w:eastAsia="Arial" w:hAnsi="Arial"/>
          <w:sz w:val="24"/>
          <w:szCs w:val="24"/>
        </w:rPr>
        <w:t xml:space="preserve">Extend the ldk.config.ts to support environment-specific provider profiles:</w:t>
      </w:r>
    </w:p>
    <w:p>
      <w:pPr>
        <w:spacing w:before="120"/>
      </w:pPr>
    </w:p>
    <w:p>
      <w:pPr>
        <w:shd w:fill="F5F5F5" w:val="clear"/>
        <w:spacing w:after="0" w:line="300"/>
        <w:ind w:left="360" w:right="360"/>
      </w:pPr>
      <w:r>
        <w:rPr>
          <w:rFonts w:ascii="Courier New" w:cs="Courier New" w:eastAsia="Courier New" w:hAnsi="Courier New"/>
          <w:color w:val="333333"/>
          <w:sz w:val="20"/>
          <w:szCs w:val="20"/>
        </w:rPr>
        <w:t xml:space="preserve">// ldk.config.ts</w:t>
      </w:r>
    </w:p>
    <w:p>
      <w:pPr>
        <w:shd w:fill="F5F5F5" w:val="clear"/>
        <w:spacing w:after="0" w:line="300"/>
        <w:ind w:left="360" w:right="360"/>
      </w:pPr>
      <w:r>
        <w:rPr>
          <w:rFonts w:ascii="Courier New" w:cs="Courier New" w:eastAsia="Courier New" w:hAnsi="Courier New"/>
          <w:color w:val="333333"/>
          <w:sz w:val="20"/>
          <w:szCs w:val="20"/>
        </w:rPr>
        <w:t xml:space="preserve">export default {</w:t>
      </w:r>
    </w:p>
    <w:p>
      <w:pPr>
        <w:shd w:fill="F5F5F5" w:val="clear"/>
        <w:spacing w:after="0" w:line="300"/>
        <w:ind w:left="360" w:right="360"/>
      </w:pPr>
      <w:r>
        <w:rPr>
          <w:rFonts w:ascii="Courier New" w:cs="Courier New" w:eastAsia="Courier New" w:hAnsi="Courier New"/>
          <w:color w:val="333333"/>
          <w:sz w:val="20"/>
          <w:szCs w:val="20"/>
        </w:rPr>
        <w:t xml:space="preserve">  profiles: {</w:t>
      </w:r>
    </w:p>
    <w:p>
      <w:pPr>
        <w:shd w:fill="F5F5F5" w:val="clear"/>
        <w:spacing w:after="0" w:line="300"/>
        <w:ind w:left="360" w:right="360"/>
      </w:pPr>
      <w:r>
        <w:rPr>
          <w:rFonts w:ascii="Courier New" w:cs="Courier New" w:eastAsia="Courier New" w:hAnsi="Courier New"/>
          <w:color w:val="333333"/>
          <w:sz w:val="20"/>
          <w:szCs w:val="20"/>
        </w:rPr>
        <w:t xml:space="preserve">    local: {</w:t>
      </w:r>
    </w:p>
    <w:p>
      <w:pPr>
        <w:shd w:fill="F5F5F5" w:val="clear"/>
        <w:spacing w:after="0" w:line="300"/>
        <w:ind w:left="360" w:right="360"/>
      </w:pPr>
      <w:r>
        <w:rPr>
          <w:rFonts w:ascii="Courier New" w:cs="Courier New" w:eastAsia="Courier New" w:hAnsi="Courier New"/>
          <w:color w:val="333333"/>
          <w:sz w:val="20"/>
          <w:szCs w:val="20"/>
        </w:rPr>
        <w:t xml:space="preserve">      // Default: lightweight local providers</w:t>
      </w:r>
    </w:p>
    <w:p>
      <w:pPr>
        <w:shd w:fill="F5F5F5" w:val="clear"/>
        <w:spacing w:after="0" w:line="300"/>
        <w:ind w:left="360" w:right="360"/>
      </w:pPr>
      <w:r>
        <w:rPr>
          <w:rFonts w:ascii="Courier New" w:cs="Courier New" w:eastAsia="Courier New" w:hAnsi="Courier New"/>
          <w:color w:val="333333"/>
          <w:sz w:val="20"/>
          <w:szCs w:val="20"/>
        </w:rPr>
        <w:t xml:space="preserve">      providers: {</w:t>
      </w:r>
    </w:p>
    <w:p>
      <w:pPr>
        <w:shd w:fill="F5F5F5" w:val="clear"/>
        <w:spacing w:after="0" w:line="300"/>
        <w:ind w:left="360" w:right="360"/>
      </w:pPr>
      <w:r>
        <w:rPr>
          <w:rFonts w:ascii="Courier New" w:cs="Courier New" w:eastAsia="Courier New" w:hAnsi="Courier New"/>
          <w:color w:val="333333"/>
          <w:sz w:val="20"/>
          <w:szCs w:val="20"/>
        </w:rPr>
        <w:t xml:space="preserve">        dynamodb: 'sqlite',</w:t>
      </w:r>
    </w:p>
    <w:p>
      <w:pPr>
        <w:shd w:fill="F5F5F5" w:val="clear"/>
        <w:spacing w:after="0" w:line="300"/>
        <w:ind w:left="360" w:right="360"/>
      </w:pPr>
      <w:r>
        <w:rPr>
          <w:rFonts w:ascii="Courier New" w:cs="Courier New" w:eastAsia="Courier New" w:hAnsi="Courier New"/>
          <w:color w:val="333333"/>
          <w:sz w:val="20"/>
          <w:szCs w:val="20"/>
        </w:rPr>
        <w:t xml:space="preserve">        sqs: 'memory',</w:t>
      </w:r>
    </w:p>
    <w:p>
      <w:pPr>
        <w:shd w:fill="F5F5F5" w:val="clear"/>
        <w:spacing w:after="0" w:line="300"/>
        <w:ind w:left="360" w:right="360"/>
      </w:pPr>
      <w:r>
        <w:rPr>
          <w:rFonts w:ascii="Courier New" w:cs="Courier New" w:eastAsia="Courier New" w:hAnsi="Courier New"/>
          <w:color w:val="333333"/>
          <w:sz w:val="20"/>
          <w:szCs w:val="20"/>
        </w:rPr>
        <w:t xml:space="preserve">        s3: 'filesystem',</w:t>
      </w:r>
    </w:p>
    <w:p>
      <w:pPr>
        <w:shd w:fill="F5F5F5" w:val="clear"/>
        <w:spacing w:after="0" w:line="300"/>
        <w:ind w:left="360" w:right="360"/>
      </w:pPr>
      <w:r>
        <w:rPr>
          <w:rFonts w:ascii="Courier New" w:cs="Courier New" w:eastAsia="Courier New" w:hAnsi="Courier New"/>
          <w:color w:val="333333"/>
          <w:sz w:val="20"/>
          <w:szCs w:val="20"/>
        </w:rPr>
        <w:t xml:space="preserve">      }</w:t>
      </w:r>
    </w:p>
    <w:p>
      <w:pPr>
        <w:shd w:fill="F5F5F5" w:val="clear"/>
        <w:spacing w:after="0" w:line="300"/>
        <w:ind w:left="360" w:right="360"/>
      </w:pPr>
      <w:r>
        <w:rPr>
          <w:rFonts w:ascii="Courier New" w:cs="Courier New" w:eastAsia="Courier New" w:hAnsi="Courier New"/>
          <w:color w:val="333333"/>
          <w:sz w:val="20"/>
          <w:szCs w:val="20"/>
        </w:rPr>
        <w:t xml:space="preserve">    },</w:t>
      </w:r>
    </w:p>
    <w:p>
      <w:pPr>
        <w:shd w:fill="F5F5F5" w:val="clear"/>
        <w:spacing w:after="0" w:line="300"/>
        <w:ind w:left="360" w:right="360"/>
      </w:pPr>
      <w:r>
        <w:rPr>
          <w:rFonts w:ascii="Courier New" w:cs="Courier New" w:eastAsia="Courier New" w:hAnsi="Courier New"/>
          <w:color w:val="333333"/>
          <w:sz w:val="20"/>
          <w:szCs w:val="20"/>
        </w:rPr>
        <w:t xml:space="preserve">    staging: {</w:t>
      </w:r>
    </w:p>
    <w:p>
      <w:pPr>
        <w:shd w:fill="F5F5F5" w:val="clear"/>
        <w:spacing w:after="0" w:line="300"/>
        <w:ind w:left="360" w:right="360"/>
      </w:pPr>
      <w:r>
        <w:rPr>
          <w:rFonts w:ascii="Courier New" w:cs="Courier New" w:eastAsia="Courier New" w:hAnsi="Courier New"/>
          <w:color w:val="333333"/>
          <w:sz w:val="20"/>
          <w:szCs w:val="20"/>
        </w:rPr>
        <w:t xml:space="preserve">      // Self-hosted durable providers</w:t>
      </w:r>
    </w:p>
    <w:p>
      <w:pPr>
        <w:shd w:fill="F5F5F5" w:val="clear"/>
        <w:spacing w:after="0" w:line="300"/>
        <w:ind w:left="360" w:right="360"/>
      </w:pPr>
      <w:r>
        <w:rPr>
          <w:rFonts w:ascii="Courier New" w:cs="Courier New" w:eastAsia="Courier New" w:hAnsi="Courier New"/>
          <w:color w:val="333333"/>
          <w:sz w:val="20"/>
          <w:szCs w:val="20"/>
        </w:rPr>
        <w:t xml:space="preserve">      providers: {</w:t>
      </w:r>
    </w:p>
    <w:p>
      <w:pPr>
        <w:shd w:fill="F5F5F5" w:val="clear"/>
        <w:spacing w:after="0" w:line="300"/>
        <w:ind w:left="360" w:right="360"/>
      </w:pPr>
      <w:r>
        <w:rPr>
          <w:rFonts w:ascii="Courier New" w:cs="Courier New" w:eastAsia="Courier New" w:hAnsi="Courier New"/>
          <w:color w:val="333333"/>
          <w:sz w:val="20"/>
          <w:szCs w:val="20"/>
        </w:rPr>
        <w:t xml:space="preserve">        dynamodb: 'postgresql',</w:t>
      </w:r>
    </w:p>
    <w:p>
      <w:pPr>
        <w:shd w:fill="F5F5F5" w:val="clear"/>
        <w:spacing w:after="0" w:line="300"/>
        <w:ind w:left="360" w:right="360"/>
      </w:pPr>
      <w:r>
        <w:rPr>
          <w:rFonts w:ascii="Courier New" w:cs="Courier New" w:eastAsia="Courier New" w:hAnsi="Courier New"/>
          <w:color w:val="333333"/>
          <w:sz w:val="20"/>
          <w:szCs w:val="20"/>
        </w:rPr>
        <w:t xml:space="preserve">        sqs: 'kafka',</w:t>
      </w:r>
    </w:p>
    <w:p>
      <w:pPr>
        <w:shd w:fill="F5F5F5" w:val="clear"/>
        <w:spacing w:after="0" w:line="300"/>
        <w:ind w:left="360" w:right="360"/>
      </w:pPr>
      <w:r>
        <w:rPr>
          <w:rFonts w:ascii="Courier New" w:cs="Courier New" w:eastAsia="Courier New" w:hAnsi="Courier New"/>
          <w:color w:val="333333"/>
          <w:sz w:val="20"/>
          <w:szCs w:val="20"/>
        </w:rPr>
        <w:t xml:space="preserve">        s3: 'minio',</w:t>
      </w:r>
    </w:p>
    <w:p>
      <w:pPr>
        <w:shd w:fill="F5F5F5" w:val="clear"/>
        <w:spacing w:after="0" w:line="300"/>
        <w:ind w:left="360" w:right="360"/>
      </w:pPr>
      <w:r>
        <w:rPr>
          <w:rFonts w:ascii="Courier New" w:cs="Courier New" w:eastAsia="Courier New" w:hAnsi="Courier New"/>
          <w:color w:val="333333"/>
          <w:sz w:val="20"/>
          <w:szCs w:val="20"/>
        </w:rPr>
        <w:t xml:space="preserve">        eventbridge: 'nats',</w:t>
      </w:r>
    </w:p>
    <w:p>
      <w:pPr>
        <w:shd w:fill="F5F5F5" w:val="clear"/>
        <w:spacing w:after="0" w:line="300"/>
        <w:ind w:left="360" w:right="360"/>
      </w:pPr>
      <w:r>
        <w:rPr>
          <w:rFonts w:ascii="Courier New" w:cs="Courier New" w:eastAsia="Courier New" w:hAnsi="Courier New"/>
          <w:color w:val="333333"/>
          <w:sz w:val="20"/>
          <w:szCs w:val="20"/>
        </w:rPr>
        <w:t xml:space="preserve">      },</w:t>
      </w:r>
    </w:p>
    <w:p>
      <w:pPr>
        <w:shd w:fill="F5F5F5" w:val="clear"/>
        <w:spacing w:after="0" w:line="300"/>
        <w:ind w:left="360" w:right="360"/>
      </w:pPr>
      <w:r>
        <w:rPr>
          <w:rFonts w:ascii="Courier New" w:cs="Courier New" w:eastAsia="Courier New" w:hAnsi="Courier New"/>
          <w:color w:val="333333"/>
          <w:sz w:val="20"/>
          <w:szCs w:val="20"/>
        </w:rPr>
        <w:t xml:space="preserve">      deploy: {</w:t>
      </w:r>
    </w:p>
    <w:p>
      <w:pPr>
        <w:shd w:fill="F5F5F5" w:val="clear"/>
        <w:spacing w:after="0" w:line="300"/>
        <w:ind w:left="360" w:right="360"/>
      </w:pPr>
      <w:r>
        <w:rPr>
          <w:rFonts w:ascii="Courier New" w:cs="Courier New" w:eastAsia="Courier New" w:hAnsi="Courier New"/>
          <w:color w:val="333333"/>
          <w:sz w:val="20"/>
          <w:szCs w:val="20"/>
        </w:rPr>
        <w:t xml:space="preserve">        target: 'docker-compose',</w:t>
      </w:r>
    </w:p>
    <w:p>
      <w:pPr>
        <w:shd w:fill="F5F5F5" w:val="clear"/>
        <w:spacing w:after="0" w:line="300"/>
        <w:ind w:left="360" w:right="360"/>
      </w:pPr>
      <w:r>
        <w:rPr>
          <w:rFonts w:ascii="Courier New" w:cs="Courier New" w:eastAsia="Courier New" w:hAnsi="Courier New"/>
          <w:color w:val="333333"/>
          <w:sz w:val="20"/>
          <w:szCs w:val="20"/>
        </w:rPr>
        <w:t xml:space="preserve">        host: 'staging.example.com',</w:t>
      </w:r>
    </w:p>
    <w:p>
      <w:pPr>
        <w:shd w:fill="F5F5F5" w:val="clear"/>
        <w:spacing w:after="0" w:line="300"/>
        <w:ind w:left="360" w:right="360"/>
      </w:pPr>
      <w:r>
        <w:rPr>
          <w:rFonts w:ascii="Courier New" w:cs="Courier New" w:eastAsia="Courier New" w:hAnsi="Courier New"/>
          <w:color w:val="333333"/>
          <w:sz w:val="20"/>
          <w:szCs w:val="20"/>
        </w:rPr>
        <w:t xml:space="preserve">      }</w:t>
      </w:r>
    </w:p>
    <w:p>
      <w:pPr>
        <w:shd w:fill="F5F5F5" w:val="clear"/>
        <w:spacing w:after="0" w:line="300"/>
        <w:ind w:left="360" w:right="360"/>
      </w:pPr>
      <w:r>
        <w:rPr>
          <w:rFonts w:ascii="Courier New" w:cs="Courier New" w:eastAsia="Courier New" w:hAnsi="Courier New"/>
          <w:color w:val="333333"/>
          <w:sz w:val="20"/>
          <w:szCs w:val="20"/>
        </w:rPr>
        <w:t xml:space="preserve">    },</w:t>
      </w:r>
    </w:p>
    <w:p>
      <w:pPr>
        <w:shd w:fill="F5F5F5" w:val="clear"/>
        <w:spacing w:after="0" w:line="300"/>
        <w:ind w:left="360" w:right="360"/>
      </w:pPr>
      <w:r>
        <w:rPr>
          <w:rFonts w:ascii="Courier New" w:cs="Courier New" w:eastAsia="Courier New" w:hAnsi="Courier New"/>
          <w:color w:val="333333"/>
          <w:sz w:val="20"/>
          <w:szCs w:val="20"/>
        </w:rPr>
        <w:t xml:space="preserve">    production: {</w:t>
      </w:r>
    </w:p>
    <w:p>
      <w:pPr>
        <w:shd w:fill="F5F5F5" w:val="clear"/>
        <w:spacing w:after="0" w:line="300"/>
        <w:ind w:left="360" w:right="360"/>
      </w:pPr>
      <w:r>
        <w:rPr>
          <w:rFonts w:ascii="Courier New" w:cs="Courier New" w:eastAsia="Courier New" w:hAnsi="Courier New"/>
          <w:color w:val="333333"/>
          <w:sz w:val="20"/>
          <w:szCs w:val="20"/>
        </w:rPr>
        <w:t xml:space="preserve">      // AWS managed services (standard CDK deploy)</w:t>
      </w:r>
    </w:p>
    <w:p>
      <w:pPr>
        <w:shd w:fill="F5F5F5" w:val="clear"/>
        <w:spacing w:after="0" w:line="300"/>
        <w:ind w:left="360" w:right="360"/>
      </w:pPr>
      <w:r>
        <w:rPr>
          <w:rFonts w:ascii="Courier New" w:cs="Courier New" w:eastAsia="Courier New" w:hAnsi="Courier New"/>
          <w:color w:val="333333"/>
          <w:sz w:val="20"/>
          <w:szCs w:val="20"/>
        </w:rPr>
        <w:t xml:space="preserve">      providers: 'aws',</w:t>
      </w:r>
    </w:p>
    <w:p>
      <w:pPr>
        <w:shd w:fill="F5F5F5" w:val="clear"/>
        <w:spacing w:after="0" w:line="300"/>
        <w:ind w:left="360" w:right="360"/>
      </w:pPr>
      <w:r>
        <w:rPr>
          <w:rFonts w:ascii="Courier New" w:cs="Courier New" w:eastAsia="Courier New" w:hAnsi="Courier New"/>
          <w:color w:val="333333"/>
          <w:sz w:val="20"/>
          <w:szCs w:val="20"/>
        </w:rPr>
        <w:t xml:space="preserve">    }</w:t>
      </w:r>
    </w:p>
    <w:p>
      <w:pPr>
        <w:shd w:fill="F5F5F5" w:val="clear"/>
        <w:spacing w:after="0" w:line="300"/>
        <w:ind w:left="360" w:right="360"/>
      </w:pPr>
      <w:r>
        <w:rPr>
          <w:rFonts w:ascii="Courier New" w:cs="Courier New" w:eastAsia="Courier New" w:hAnsi="Courier New"/>
          <w:color w:val="333333"/>
          <w:sz w:val="20"/>
          <w:szCs w:val="20"/>
        </w:rPr>
        <w:t xml:space="preserve">  }</w:t>
      </w:r>
    </w:p>
    <w:p>
      <w:pPr>
        <w:shd w:fill="F5F5F5" w:val="clear"/>
        <w:spacing w:after="0" w:line="300"/>
        <w:ind w:left="360" w:right="360"/>
      </w:pPr>
      <w:r>
        <w:rPr>
          <w:rFonts w:ascii="Courier New" w:cs="Courier New" w:eastAsia="Courier New" w:hAnsi="Courier New"/>
          <w:color w:val="333333"/>
          <w:sz w:val="20"/>
          <w:szCs w:val="20"/>
        </w:rPr>
        <w:t xml:space="preserve">}</w:t>
      </w:r>
    </w:p>
    <w:p>
      <w:pPr>
        <w:spacing w:after="200"/>
      </w:pPr>
    </w:p>
    <w:p>
      <w:pPr>
        <w:pStyle w:val="Heading3"/>
      </w:pPr>
      <w:r>
        <w:t xml:space="preserve">5.4: Provider Conformance Test Suite</w:t>
      </w:r>
    </w:p>
    <w:p>
      <w:pPr>
        <w:spacing w:after="200"/>
      </w:pPr>
      <w:r>
        <w:rPr>
          <w:rFonts w:ascii="Arial" w:cs="Arial" w:eastAsia="Arial" w:hAnsi="Arial"/>
          <w:sz w:val="24"/>
          <w:szCs w:val="24"/>
        </w:rPr>
        <w:t xml:space="preserve">A critical quality gate for production providers. Each provider interface has an associated conformance test suite that any implementation must pass. This ensures that swapping a local SQLite provider for a production PostgreSQL provider produces identical application behavior. The conformance suite tests:</w:t>
      </w:r>
    </w:p>
    <w:p>
      <w:pPr>
        <w:pStyle w:val="ListParagraph"/>
        <w:numPr>
          <w:ilvl w:val="0"/>
          <w:numId w:val="2"/>
        </w:numPr>
        <w:spacing w:after="120"/>
      </w:pPr>
      <w:r>
        <w:rPr>
          <w:rFonts w:ascii="Arial" w:cs="Arial" w:eastAsia="Arial" w:hAnsi="Arial"/>
          <w:sz w:val="24"/>
          <w:szCs w:val="24"/>
        </w:rPr>
        <w:t xml:space="preserve">All interface methods with representative inputs and expected outputs.</w:t>
      </w:r>
    </w:p>
    <w:p>
      <w:pPr>
        <w:pStyle w:val="ListParagraph"/>
        <w:numPr>
          <w:ilvl w:val="0"/>
          <w:numId w:val="2"/>
        </w:numPr>
        <w:spacing w:after="120"/>
      </w:pPr>
      <w:r>
        <w:rPr>
          <w:rFonts w:ascii="Arial" w:cs="Arial" w:eastAsia="Arial" w:hAnsi="Arial"/>
          <w:sz w:val="24"/>
          <w:szCs w:val="24"/>
        </w:rPr>
        <w:t xml:space="preserve">Edge cases: empty results, concurrent access, large payloads, error conditions.</w:t>
      </w:r>
    </w:p>
    <w:p>
      <w:pPr>
        <w:pStyle w:val="ListParagraph"/>
        <w:numPr>
          <w:ilvl w:val="0"/>
          <w:numId w:val="2"/>
        </w:numPr>
        <w:spacing w:after="120"/>
      </w:pPr>
      <w:r>
        <w:rPr>
          <w:rFonts w:ascii="Arial" w:cs="Arial" w:eastAsia="Arial" w:hAnsi="Arial"/>
          <w:sz w:val="24"/>
          <w:szCs w:val="24"/>
        </w:rPr>
        <w:t xml:space="preserve">Behavioral semantics: ordering guarantees, consistency models, timeout behavior.</w:t>
      </w:r>
    </w:p>
    <w:p>
      <w:pPr>
        <w:spacing w:after="200"/>
      </w:pPr>
      <w:r>
        <w:rPr>
          <w:rFonts w:ascii="Arial" w:cs="Arial" w:eastAsia="Arial" w:hAnsi="Arial"/>
          <w:sz w:val="24"/>
          <w:szCs w:val="24"/>
        </w:rPr>
        <w:t xml:space="preserve">Community-contributed production providers must pass the conformance suite to be listed in the provider registry.</w:t>
      </w:r>
    </w:p>
    <w:p>
      <w:pPr>
        <w:pStyle w:val="Heading2"/>
      </w:pPr>
      <w:r>
        <w:t xml:space="preserve">Architectural Note</w:t>
      </w:r>
    </w:p>
    <w:p>
      <w:pPr>
        <w:spacing w:after="200"/>
      </w:pPr>
      <w:r>
        <w:rPr>
          <w:rFonts w:ascii="Arial" w:cs="Arial" w:eastAsia="Arial" w:hAnsi="Arial"/>
          <w:sz w:val="24"/>
          <w:szCs w:val="24"/>
        </w:rPr>
        <w:t xml:space="preserve">The decision to build abstract provider interfaces in Phase 0 — before any local providers exist — is driven by this long-term goal. The interfaces must be correct and stable before production providers are built against them. Changing an interface after multiple providers implement it is extremely expensive. By defining the interfaces early, validating them across all local providers in Phases 1–2, and battle-testing them through community usage in Phases 3–4, the interfaces will be stable and well-understood by the time production providers are built.</w:t>
      </w:r>
    </w:p>
    <w:p>
      <w:pPr>
        <w:spacing w:after="200"/>
      </w:pPr>
      <w:r>
        <w:rPr>
          <w:rFonts w:ascii="Arial" w:cs="Arial" w:eastAsia="Arial" w:hAnsi="Arial"/>
          <w:sz w:val="24"/>
          <w:szCs w:val="24"/>
        </w:rPr>
        <w:t xml:space="preserve">This is explicitly a build-so-it-is-possible approach: the architecture supports this future from day one, but no production provider code is written until the interfaces have been proven through extensive local development usage.</w:t>
      </w:r>
    </w:p>
    <w:p>
      <w:r>
        <w:br w:type="page"/>
      </w:r>
    </w:p>
    <w:p>
      <w:pPr>
        <w:pStyle w:val="Heading1"/>
      </w:pPr>
      <w:r>
        <w:t xml:space="preserve">Summary Timeline</w:t>
      </w:r>
    </w:p>
    <w:p>
      <w:pPr>
        <w:spacing w:after="1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1800"/>
        <w:gridCol w:w="5160"/>
      </w:tblGrid>
      <w:tr>
        <w:tc>
          <w:tcPr>
            <w:tcW w:type="dxa" w:w="24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1"/>
                <w:szCs w:val="21"/>
              </w:rPr>
              <w:t xml:space="preserve">Phase</w:t>
            </w:r>
          </w:p>
        </w:tc>
        <w:tc>
          <w:tcPr>
            <w:tcW w:type="dxa" w:w="18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1"/>
                <w:szCs w:val="21"/>
              </w:rPr>
              <w:t xml:space="preserve">Duration</w:t>
            </w:r>
          </w:p>
        </w:tc>
        <w:tc>
          <w:tcPr>
            <w:tcW w:type="dxa" w:w="51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1"/>
                <w:szCs w:val="21"/>
              </w:rPr>
              <w:t xml:space="preserve">Key Outcome</w:t>
            </w:r>
          </w:p>
        </w:tc>
      </w:tr>
      <w:tr>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Phase 0: Proof of Concept</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2–3 weeks</w:t>
            </w:r>
          </w:p>
        </w:tc>
        <w:tc>
          <w:tcPr>
            <w:tcW w:type="dxa" w:w="5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API Gateway + Lambda + DynamoDB locally from CDK, provider interfaces defined</w:t>
            </w:r>
          </w:p>
        </w:tc>
      </w:tr>
      <w:tr>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Phase 1: Core Runtime</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6–8 weeks</w:t>
            </w:r>
          </w:p>
        </w:tc>
        <w:tc>
          <w:tcPr>
            <w:tcW w:type="dxa" w:w="5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Full serverless app support (API GW, Lambda, DynamoDB, SQS, SNS, S3)</w:t>
            </w:r>
          </w:p>
        </w:tc>
      </w:tr>
      <w:tr>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Phase 2: Advanced Constructs</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6–8 weeks</w:t>
            </w:r>
          </w:p>
        </w:tc>
        <w:tc>
          <w:tcPr>
            <w:tcW w:type="dxa" w:w="5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Step Functions, EventBridge, ECS, Cognito, validation engine</w:t>
            </w:r>
          </w:p>
        </w:tc>
      </w:tr>
      <w:tr>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Phase 3: Ecosystem and Polish</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4–6 weeks</w:t>
            </w:r>
          </w:p>
        </w:tc>
        <w:tc>
          <w:tcPr>
            <w:tcW w:type="dxa" w:w="5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Cross-platform, docs, testing, open source launch</w:t>
            </w:r>
          </w:p>
        </w:tc>
      </w:tr>
      <w:tr>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Phase 4: Community and Growth</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Ongoing</w:t>
            </w:r>
          </w:p>
        </w:tc>
        <w:tc>
          <w:tcPr>
            <w:tcW w:type="dxa" w:w="5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Community providers, visual UI, non-CDK support</w:t>
            </w:r>
          </w:p>
        </w:tc>
      </w:tr>
      <w:tr>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Phase 5: Cloud-Portable Runtime</w:t>
            </w:r>
          </w:p>
        </w:tc>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12+ weeks</w:t>
            </w:r>
          </w:p>
        </w:tc>
        <w:tc>
          <w:tcPr>
            <w:tcW w:type="dxa" w:w="5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Production VPS providers (Kafka, PostgreSQL, MinIO), ldk deploy</w:t>
            </w:r>
          </w:p>
        </w:tc>
      </w:tr>
    </w:tbl>
    <w:p>
      <w:pPr>
        <w:spacing w:after="200"/>
      </w:pPr>
    </w:p>
    <w:p>
      <w:pPr>
        <w:spacing w:after="200"/>
      </w:pPr>
      <w:r>
        <w:rPr>
          <w:rFonts w:ascii="Arial" w:cs="Arial" w:eastAsia="Arial" w:hAnsi="Arial"/>
          <w:sz w:val="24"/>
          <w:szCs w:val="24"/>
        </w:rPr>
        <w:t xml:space="preserve">Total estimated timeline from start to open source launch: 18–25 weeks (approximately 5–6 months). Phase 0 is designed to validate the approach quickly before committing to the full build. If the spike reveals fundamental issues with the cloud assembly parsing or SDK redirection approach, the project can pivot or stop at minimal cost.</w:t>
      </w:r>
    </w:p>
    <w:p>
      <w:pPr>
        <w:pStyle w:val="Heading1"/>
      </w:pPr>
      <w:r>
        <w:t xml:space="preserve">Risk Register</w:t>
      </w:r>
    </w:p>
    <w:p>
      <w:pPr>
        <w:spacing w:after="1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1100"/>
        <w:gridCol w:w="1200"/>
        <w:gridCol w:w="4860"/>
      </w:tblGrid>
      <w:tr>
        <w:tc>
          <w:tcPr>
            <w:tcW w:type="dxa" w:w="2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1"/>
                <w:szCs w:val="21"/>
              </w:rPr>
              <w:t xml:space="preserve">Risk</w:t>
            </w:r>
          </w:p>
        </w:tc>
        <w:tc>
          <w:tcPr>
            <w:tcW w:type="dxa" w:w="11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1"/>
                <w:szCs w:val="21"/>
              </w:rPr>
              <w:t xml:space="preserve">Impact</w:t>
            </w:r>
          </w:p>
        </w:tc>
        <w:tc>
          <w:tcPr>
            <w:tcW w:type="dxa" w:w="120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1"/>
                <w:szCs w:val="21"/>
              </w:rPr>
              <w:t xml:space="preserve">Likelihood</w:t>
            </w:r>
          </w:p>
        </w:tc>
        <w:tc>
          <w:tcPr>
            <w:tcW w:type="dxa" w:w="4860"/>
            <w:tcBorders>
              <w:top w:val="single" w:color="CCCCCC" w:sz="1"/>
              <w:left w:val="single" w:color="CCCCCC" w:sz="1"/>
              <w:bottom w:val="single" w:color="CCCCCC" w:sz="1"/>
              <w:right w:val="single" w:color="CCCCCC" w:sz="1"/>
            </w:tcBorders>
            <w:shd w:fill="1B2A4A" w:val="clear"/>
            <w:tcMar>
              <w:top w:type="dxa" w:w="80"/>
              <w:left w:type="dxa" w:w="120"/>
              <w:bottom w:type="dxa" w:w="80"/>
              <w:right w:type="dxa" w:w="120"/>
            </w:tcMar>
          </w:tcPr>
          <w:p>
            <w:r>
              <w:rPr>
                <w:rFonts w:ascii="Arial" w:cs="Arial" w:eastAsia="Arial" w:hAnsi="Arial"/>
                <w:b/>
                <w:bCs/>
                <w:color w:val="FFFFFF"/>
                <w:sz w:val="21"/>
                <w:szCs w:val="21"/>
              </w:rPr>
              <w:t xml:space="preserve">Mitigation</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tree.json format changes between CDK versions</w:t>
            </w:r>
          </w:p>
        </w:tc>
        <w:tc>
          <w:tcPr>
            <w:tcW w:type="dxa" w:w="11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High</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Low</w:t>
            </w:r>
          </w:p>
        </w:tc>
        <w:tc>
          <w:tcPr>
            <w:tcW w:type="dxa" w:w="4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Pin supported CDK version range, add version detection, test against multiple versions in CI</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AWS SDK endpoint redirection inconsistent across languages/versions</w:t>
            </w:r>
          </w:p>
        </w:tc>
        <w:tc>
          <w:tcPr>
            <w:tcW w:type="dxa" w:w="11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High</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Medium</w:t>
            </w:r>
          </w:p>
        </w:tc>
        <w:tc>
          <w:tcPr>
            <w:tcW w:type="dxa" w:w="4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Test all major SDK versions early in Phase 0, maintain a compatibility matrix, fall back to HTTP proxy if needed</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DynamoDB query semantics too complex for SQLite translation</w:t>
            </w:r>
          </w:p>
        </w:tc>
        <w:tc>
          <w:tcPr>
            <w:tcW w:type="dxa" w:w="11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Medium</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Medium</w:t>
            </w:r>
          </w:p>
        </w:tc>
        <w:tc>
          <w:tcPr>
            <w:tcW w:type="dxa" w:w="4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Focus on common patterns (80/20), allow fallback to DynamoDB Local container for full fidelity</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Performance: local invocation too slow for responsive dev experience</w:t>
            </w:r>
          </w:p>
        </w:tc>
        <w:tc>
          <w:tcPr>
            <w:tcW w:type="dxa" w:w="11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Medium</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Low</w:t>
            </w:r>
          </w:p>
        </w:tc>
        <w:tc>
          <w:tcPr>
            <w:tcW w:type="dxa" w:w="4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Benchmark in Phase 0, use worker threads for handler isolation, cache module resolution</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Scope creep: too many AWS services to support</w:t>
            </w:r>
          </w:p>
        </w:tc>
        <w:tc>
          <w:tcPr>
            <w:tcW w:type="dxa" w:w="11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High</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High</w:t>
            </w:r>
          </w:p>
        </w:tc>
        <w:tc>
          <w:tcPr>
            <w:tcW w:type="dxa" w:w="4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Strict prioritization by CDK usage data, provider plugin architecture for community contributions</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CDK L3 constructs create unexpected resource topologies</w:t>
            </w:r>
          </w:p>
        </w:tc>
        <w:tc>
          <w:tcPr>
            <w:tcW w:type="dxa" w:w="11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Medium</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Medium</w:t>
            </w:r>
          </w:p>
        </w:tc>
        <w:tc>
          <w:tcPr>
            <w:tcW w:type="dxa" w:w="4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Start with L1/L2 constructs, add L3 support incrementally based on user reports</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Competing product launched by AWS or LocalStack</w:t>
            </w:r>
          </w:p>
        </w:tc>
        <w:tc>
          <w:tcPr>
            <w:tcW w:type="dxa" w:w="11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High</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Medium</w:t>
            </w:r>
          </w:p>
        </w:tc>
        <w:tc>
          <w:tcPr>
            <w:tcW w:type="dxa" w:w="4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Differentiate on CDK-native approach and developer experience, maintain fast iteration speed</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Provider interface abstraction too leaky for production use</w:t>
            </w:r>
          </w:p>
        </w:tc>
        <w:tc>
          <w:tcPr>
            <w:tcW w:type="dxa" w:w="11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High</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Medium</w:t>
            </w:r>
          </w:p>
        </w:tc>
        <w:tc>
          <w:tcPr>
            <w:tcW w:type="dxa" w:w="48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b w:val="false"/>
                <w:bCs w:val="false"/>
                <w:color w:val="333333"/>
                <w:sz w:val="21"/>
                <w:szCs w:val="21"/>
              </w:rPr>
              <w:t xml:space="preserve">Define interfaces based on capabilities not APIs, validate with multiple implementations, invest in conformance test suite early</w:t>
            </w:r>
          </w:p>
        </w:tc>
      </w:tr>
    </w:tbl>
    <w:p>
      <w:pPr>
        <w:spacing w:after="200"/>
      </w:pPr>
    </w:p>
    <w:p>
      <w:pPr>
        <w:pStyle w:val="Heading1"/>
      </w:pPr>
      <w:r>
        <w:t xml:space="preserve">Success Metrics</w:t>
      </w:r>
    </w:p>
    <w:p>
      <w:pPr>
        <w:spacing w:after="200"/>
      </w:pPr>
      <w:r>
        <w:rPr>
          <w:rFonts w:ascii="Arial" w:cs="Arial" w:eastAsia="Arial" w:hAnsi="Arial"/>
          <w:sz w:val="24"/>
          <w:szCs w:val="24"/>
        </w:rPr>
        <w:t xml:space="preserve">The following metrics will indicate whether LDK is achieving its goals:</w:t>
      </w:r>
    </w:p>
    <w:p>
      <w:pPr>
        <w:pStyle w:val="ListParagraph"/>
        <w:numPr>
          <w:ilvl w:val="0"/>
          <w:numId w:val="2"/>
        </w:numPr>
        <w:spacing w:after="120"/>
      </w:pPr>
      <w:r>
        <w:rPr>
          <w:rFonts w:ascii="Arial" w:cs="Arial" w:eastAsia="Arial" w:hAnsi="Arial"/>
          <w:sz w:val="24"/>
          <w:szCs w:val="24"/>
        </w:rPr>
        <w:t xml:space="preserve">Phase 0 success: end-to-end spike works within 3 weeks.</w:t>
      </w:r>
    </w:p>
    <w:p>
      <w:pPr>
        <w:pStyle w:val="ListParagraph"/>
        <w:numPr>
          <w:ilvl w:val="0"/>
          <w:numId w:val="2"/>
        </w:numPr>
        <w:spacing w:after="120"/>
      </w:pPr>
      <w:r>
        <w:rPr>
          <w:rFonts w:ascii="Arial" w:cs="Arial" w:eastAsia="Arial" w:hAnsi="Arial"/>
          <w:sz w:val="24"/>
          <w:szCs w:val="24"/>
        </w:rPr>
        <w:t xml:space="preserve">Phase 1 success: 3 external developers (outside the core team) can set up and use LDK on their own CDK project without assistance.</w:t>
      </w:r>
    </w:p>
    <w:p>
      <w:pPr>
        <w:pStyle w:val="ListParagraph"/>
        <w:numPr>
          <w:ilvl w:val="0"/>
          <w:numId w:val="2"/>
        </w:numPr>
        <w:spacing w:after="120"/>
      </w:pPr>
      <w:r>
        <w:rPr>
          <w:rFonts w:ascii="Arial" w:cs="Arial" w:eastAsia="Arial" w:hAnsi="Arial"/>
          <w:sz w:val="24"/>
          <w:szCs w:val="24"/>
        </w:rPr>
        <w:t xml:space="preserve">Open source launch: 100+ GitHub stars in the first week, indicating interest and visibility.</w:t>
      </w:r>
    </w:p>
    <w:p>
      <w:pPr>
        <w:pStyle w:val="ListParagraph"/>
        <w:numPr>
          <w:ilvl w:val="0"/>
          <w:numId w:val="2"/>
        </w:numPr>
        <w:spacing w:after="120"/>
      </w:pPr>
      <w:r>
        <w:rPr>
          <w:rFonts w:ascii="Arial" w:cs="Arial" w:eastAsia="Arial" w:hAnsi="Arial"/>
          <w:sz w:val="24"/>
          <w:szCs w:val="24"/>
        </w:rPr>
        <w:t xml:space="preserve">Adoption: 500+ weekly npm downloads within 3 months of launch.</w:t>
      </w:r>
    </w:p>
    <w:p>
      <w:pPr>
        <w:pStyle w:val="ListParagraph"/>
        <w:numPr>
          <w:ilvl w:val="0"/>
          <w:numId w:val="2"/>
        </w:numPr>
        <w:spacing w:after="120"/>
      </w:pPr>
      <w:r>
        <w:rPr>
          <w:rFonts w:ascii="Arial" w:cs="Arial" w:eastAsia="Arial" w:hAnsi="Arial"/>
          <w:sz w:val="24"/>
          <w:szCs w:val="24"/>
        </w:rPr>
        <w:t xml:space="preserve">Community: 5+ community-contributed providers within 6 months of launch.</w:t>
      </w:r>
    </w:p>
    <w:p>
      <w:pPr>
        <w:pStyle w:val="ListParagraph"/>
        <w:numPr>
          <w:ilvl w:val="0"/>
          <w:numId w:val="2"/>
        </w:numPr>
        <w:spacing w:after="120"/>
      </w:pPr>
      <w:r>
        <w:rPr>
          <w:rFonts w:ascii="Arial" w:cs="Arial" w:eastAsia="Arial" w:hAnsi="Arial"/>
          <w:sz w:val="24"/>
          <w:szCs w:val="24"/>
        </w:rPr>
        <w:t xml:space="preserve">Developer satisfaction: developers report at least 50% reduction in inner-loop cycle time compared to deploying to AWS.</w:t>
      </w:r>
    </w:p>
    <w:p>
      <w:pPr>
        <w:pStyle w:val="ListParagraph"/>
        <w:numPr>
          <w:ilvl w:val="0"/>
          <w:numId w:val="2"/>
        </w:numPr>
        <w:spacing w:after="120"/>
      </w:pPr>
      <w:r>
        <w:rPr>
          <w:rFonts w:ascii="Arial" w:cs="Arial" w:eastAsia="Arial" w:hAnsi="Arial"/>
          <w:sz w:val="24"/>
          <w:szCs w:val="24"/>
        </w:rPr>
        <w:t xml:space="preserve">Provider portability: at least one community-contributed production provider (e.g., PostgreSQL for DynamoDB, Kafka for SQS) passes the conformance test suite within 12 months of launch.</w:t>
      </w:r>
    </w:p>
    <w:sectPr>
      <w:headerReference w:type="default" r:id="rId6"/>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999999"/>
        <w:sz w:val="18"/>
        <w:szCs w:val="18"/>
      </w:rPr>
      <w:t xml:space="preserve">Page </w:t>
    </w:r>
    <w:r>
      <w:rPr>
        <w:rFonts w:ascii="Arial" w:cs="Arial" w:eastAsia="Arial" w:hAnsi="Arial"/>
        <w:color w:val="999999"/>
        <w:sz w:val="18"/>
        <w:szCs w:val="18"/>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color w:val="999999"/>
        <w:sz w:val="18"/>
        <w:szCs w:val="18"/>
      </w:rPr>
      <w:t xml:space="preserve">LDK Project Plan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360" w:after="200"/>
      <w:outlineLvl w:val="0"/>
    </w:pPr>
    <w:rPr>
      <w:rFonts w:ascii="Arial" w:cs="Arial" w:eastAsia="Arial" w:hAnsi="Arial"/>
      <w:b/>
      <w:bCs/>
      <w:color w:val="1B2A4A"/>
      <w:sz w:val="36"/>
      <w:szCs w:val="36"/>
    </w:rPr>
  </w:style>
  <w:style w:type="paragraph" w:styleId="Heading2">
    <w:name w:val="Heading 2"/>
    <w:basedOn w:val="Normal"/>
    <w:next w:val="Normal"/>
    <w:qFormat/>
    <w:pPr>
      <w:spacing w:before="280" w:after="180"/>
      <w:outlineLvl w:val="1"/>
    </w:pPr>
    <w:rPr>
      <w:rFonts w:ascii="Arial" w:cs="Arial" w:eastAsia="Arial" w:hAnsi="Arial"/>
      <w:b/>
      <w:bCs/>
      <w:color w:val="2C3E6B"/>
      <w:sz w:val="30"/>
      <w:szCs w:val="30"/>
    </w:rPr>
  </w:style>
  <w:style w:type="paragraph" w:styleId="Heading3">
    <w:name w:val="Heading 3"/>
    <w:basedOn w:val="Normal"/>
    <w:next w:val="Normal"/>
    <w:qFormat/>
    <w:pPr>
      <w:spacing w:before="240" w:after="160"/>
      <w:outlineLvl w:val="2"/>
    </w:pPr>
    <w:rPr>
      <w:rFonts w:ascii="Arial" w:cs="Arial" w:eastAsia="Arial" w:hAnsi="Arial"/>
      <w:b/>
      <w:bCs/>
      <w:color w:val="3D5291"/>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2026-02-07T16:26:16.168Z</dcterms:created>
  <dcterms:modified xsi:type="dcterms:W3CDTF">2026-02-07T16:26:16.168Z</dcterms:modified>
</cp:coreProperties>
</file>

<file path=docProps/custom.xml><?xml version="1.0" encoding="utf-8"?>
<Properties xmlns="http://schemas.openxmlformats.org/officeDocument/2006/custom-properties" xmlns:vt="http://schemas.openxmlformats.org/officeDocument/2006/docPropsVTypes"/>
</file>