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Alert Box Test</w:t>
      </w:r>
      <w:r/>
    </w:p>
    <w:p>
      <w:r/>
      <w:r>
        <w:t>Some regular text before alerts.</w:t>
      </w:r>
      <w:r/>
    </w:p>
    <w:tbl>
      <w:tblPr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left w:val="single" w:sz="24" w:space="0" w:color="8250DF"/>
        </w:tblBorders>
        <w:tblCellMar>
          <w:top w:w="80" w:type="dxa"/>
          <w:bottom w:w="80" w:type="dxa"/>
          <w:left w:w="180" w:type="dxa"/>
          <w:right w:w="120" w:type="dxa"/>
        </w:tblCellMar>
      </w:tblPr>
      <w:tblGrid>
        <w:gridCol w:w="9360"/>
      </w:tblGrid>
      <w:tr>
        <w:tc>
          <w:tcPr>
            <w:tcW w:w="5000" w:type="pct"/>
            <w:shd w:val="clear" w:color="auto" w:fill="E9D5FF"/>
          </w:tcPr>
          <w:p>
            <w:r/>
            <w:r>
              <w:t xml:space="preserve">Based on factory-observed void dimensions (5 x 3 x 2 mm), overall casting porosity appears well within automotive structural acceptance criteria. </w:t>
              <w:br/>
              <w:br/>
            </w:r>
            <w:r>
              <w:t xml:space="preserve">The 30% post-milling rejection rate is driven by </w:t>
            </w:r>
            <w:r>
              <w:rPr>
                <w:b/>
              </w:rPr>
              <w:t>void location</w:t>
            </w:r>
            <w:r>
              <w:t xml:space="preserve"> - individual voids exposed on machined surfaces - not by bulk porosity exceeding volume thresholds.</w:t>
            </w:r>
            <w:r/>
          </w:p>
        </w:tc>
      </w:tr>
    </w:tbl>
    <w:p/>
    <w:tbl>
      <w:tblPr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left w:val="single" w:sz="24" w:space="0" w:color="1A7F37"/>
        </w:tblBorders>
        <w:tblCellMar>
          <w:top w:w="80" w:type="dxa"/>
          <w:bottom w:w="80" w:type="dxa"/>
          <w:left w:w="180" w:type="dxa"/>
          <w:right w:w="120" w:type="dxa"/>
        </w:tblCellMar>
      </w:tblPr>
      <w:tblGrid>
        <w:gridCol w:w="9360"/>
      </w:tblGrid>
      <w:tr>
        <w:tc>
          <w:tcPr>
            <w:tcW w:w="5000" w:type="pct"/>
            <w:shd w:val="clear" w:color="auto" w:fill="D1FAE5"/>
          </w:tcPr>
          <w:p>
            <w:r/>
            <w:r>
              <w:t>An alternative approach is to provide the casting supplier with an ML/AI-powered automated inspection solution for their existing x-ray equipment.</w:t>
            </w:r>
            <w:r/>
          </w:p>
        </w:tc>
      </w:tr>
    </w:tbl>
    <w:p/>
    <w:tbl>
      <w:tblPr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left w:val="single" w:sz="24" w:space="0" w:color="0969DA"/>
        </w:tblBorders>
        <w:tblCellMar>
          <w:top w:w="80" w:type="dxa"/>
          <w:bottom w:w="80" w:type="dxa"/>
          <w:left w:w="180" w:type="dxa"/>
          <w:right w:w="120" w:type="dxa"/>
        </w:tblCellMar>
      </w:tblPr>
      <w:tblGrid>
        <w:gridCol w:w="9360"/>
      </w:tblGrid>
      <w:tr>
        <w:tc>
          <w:tcPr>
            <w:tcW w:w="5000" w:type="pct"/>
            <w:shd w:val="clear" w:color="auto" w:fill="DBEAFE"/>
          </w:tcPr>
          <w:p>
            <w:r/>
            <w:r/>
            <w:r>
              <w:rPr>
                <w:b/>
              </w:rPr>
              <w:t>Applicable standards for HPDC aluminium casting porosity</w:t>
            </w:r>
            <w:r>
              <w:t xml:space="preserve">: </w:t>
              <w:br/>
            </w:r>
            <w:hyperlink r:id="rId9">
              <w:r>
                <w:rPr>
                  <w:color w:val="0000EE"/>
                  <w:u w:val="single"/>
                </w:rPr>
                <w:t>ASTM E505</w:t>
              </w:r>
            </w:hyperlink>
            <w:r>
              <w:t xml:space="preserve"> (Reference Radiographs for Aluminum and Magnesium Die Castings, severity levels 1-3), </w:t>
              <w:br/>
            </w:r>
            <w:hyperlink r:id="rId10">
              <w:r>
                <w:rPr>
                  <w:color w:val="0000EE"/>
                  <w:u w:val="single"/>
                </w:rPr>
                <w:t>EN 12681</w:t>
              </w:r>
            </w:hyperlink>
            <w:r>
              <w:t xml:space="preserve"> (Founding - Radiographic testing, ISO 19232 series), </w:t>
              <w:br/>
            </w:r>
            <w:hyperlink r:id="rId11">
              <w:r>
                <w:rPr>
                  <w:color w:val="0000EE"/>
                  <w:u w:val="single"/>
                </w:rPr>
                <w:t>VW 50093</w:t>
              </w:r>
            </w:hyperlink>
            <w:r>
              <w:t xml:space="preserve"> (Volkswagen casting quality classification, Class A-C), </w:t>
              <w:br/>
            </w:r>
            <w:hyperlink r:id="rId12">
              <w:r>
                <w:rPr>
                  <w:color w:val="0000EE"/>
                  <w:u w:val="single"/>
                </w:rPr>
                <w:t>BMW GS 93005</w:t>
              </w:r>
            </w:hyperlink>
            <w:r>
              <w:t xml:space="preserve"> (BMW aluminium die castings quality requirements).</w:t>
            </w:r>
            <w:r/>
          </w:p>
        </w:tc>
      </w:tr>
    </w:tbl>
    <w:p/>
    <w:tbl>
      <w:tblPr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left w:val="single" w:sz="24" w:space="0" w:color="9A6700"/>
        </w:tblBorders>
        <w:tblCellMar>
          <w:top w:w="80" w:type="dxa"/>
          <w:bottom w:w="80" w:type="dxa"/>
          <w:left w:w="180" w:type="dxa"/>
          <w:right w:w="120" w:type="dxa"/>
        </w:tblCellMar>
      </w:tblPr>
      <w:tblGrid>
        <w:gridCol w:w="9360"/>
      </w:tblGrid>
      <w:tr>
        <w:tc>
          <w:tcPr>
            <w:tcW w:w="5000" w:type="pct"/>
            <w:shd w:val="clear" w:color="auto" w:fill="FEF3C7"/>
          </w:tcPr>
          <w:p>
            <w:r/>
            <w:r>
              <w:t>This is a simple warning without any special formatting.</w:t>
            </w:r>
            <w:r/>
          </w:p>
        </w:tc>
      </w:tr>
    </w:tbl>
    <w:p/>
    <w:p>
      <w:r/>
      <w:r>
        <w:t>Some text after all the alerts.</w:t>
      </w:r>
      <w:r/>
    </w:p>
    <w:tbl>
      <w:tblPr>
        <w:tblW w:type="auto" w:w="0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400"/>
          </w:tcPr>
          <w:p>
            <w:r>
              <w:rPr>
                <w:b/>
              </w:rPr>
              <w:t>Header 1</w:t>
            </w:r>
          </w:p>
        </w:tc>
        <w:tc>
          <w:tcPr>
            <w:tcW w:type="dxa" w:w="5400"/>
          </w:tcPr>
          <w:p>
            <w:r>
              <w:rPr>
                <w:b/>
              </w:rPr>
              <w:t>Header 2</w:t>
            </w:r>
          </w:p>
        </w:tc>
      </w:tr>
      <w:tr>
        <w:tc>
          <w:tcPr>
            <w:tcW w:type="dxa" w:w="5400"/>
          </w:tcPr>
          <w:p>
            <w:r>
              <w:t>Cell 1</w:t>
            </w:r>
          </w:p>
        </w:tc>
        <w:tc>
          <w:tcPr>
            <w:tcW w:type="dxa" w:w="5400"/>
          </w:tcPr>
          <w:p>
            <w:r>
              <w:t>Cell 2</w:t>
            </w:r>
          </w:p>
        </w:tc>
      </w:tr>
      <w:tr>
        <w:tc>
          <w:tcPr>
            <w:tcW w:type="dxa" w:w="5400"/>
          </w:tcPr>
          <w:p>
            <w:r>
              <w:t>Cell 3</w:t>
            </w:r>
          </w:p>
        </w:tc>
        <w:tc>
          <w:tcPr>
            <w:tcW w:type="dxa" w:w="5400"/>
          </w:tcPr>
          <w:p>
            <w:r>
              <w:t>Cell 4</w:t>
            </w:r>
          </w:p>
        </w:tc>
      </w:tr>
    </w:tbl>
    <w:sectPr w:rsidR="00FC693F" w:rsidRPr="0006063C" w:rsidSect="00034616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astm.org/e0505_e0505m-15.html" TargetMode="External"/><Relationship Id="rId10" Type="http://schemas.openxmlformats.org/officeDocument/2006/relationships/hyperlink" Target="https://www.en-standard.eu/csn-en-12681-founding-radiographic-testing/" TargetMode="External"/><Relationship Id="rId11" Type="http://schemas.openxmlformats.org/officeDocument/2006/relationships/hyperlink" Target="https://www.beuth.de/en/technical-rule/vw-50093/345702123" TargetMode="External"/><Relationship Id="rId12" Type="http://schemas.openxmlformats.org/officeDocument/2006/relationships/hyperlink" Target="https://www.normadoc.com/english/gs-93005-2019-1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