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80"/>
        <w:jc w:val="center"/>
      </w:pPr>
      <w:r>
        <w:rPr>
          <w:rFonts w:ascii="Garamond" w:cs="Garamond" w:eastAsia="Garamond" w:hAnsi="Garamond"/>
          <w:b/>
          <w:bCs/>
          <w:smallCaps/>
          <w:sz w:val="40"/>
          <w:szCs w:val="40"/>
        </w:rPr>
        <w:t xml:space="preserve">A Unified Computational Paradigm for Non-Linear Time Series: Integrating Multifractal Cross-Correlations and Quantum Price Field Dynamics in the FracTime Ecosystem</w:t>
      </w:r>
    </w:p>
    <w:p>
      <w:pPr>
        <w:spacing w:after="240"/>
        <w:jc w:val="center"/>
      </w:pPr>
      <w:r>
        <w:rPr>
          <w:rFonts w:ascii="Times New Roman" w:cs="Times New Roman" w:eastAsia="Times New Roman" w:hAnsi="Times New Roman"/>
          <w:sz w:val="26"/>
          <w:szCs w:val="26"/>
        </w:rPr>
        <w:t xml:space="preserve">Rick Galbo</w:t>
      </w:r>
    </w:p>
    <w:p>
      <w:pPr>
        <w:jc w:val="center"/>
      </w:pPr>
      <w:r>
        <w:rPr>
          <w:rFonts w:ascii="Times New Roman" w:cs="Times New Roman" w:eastAsia="Times New Roman" w:hAnsi="Times New Roman"/>
          <w:sz w:val="24"/>
          <w:szCs w:val="24"/>
        </w:rPr>
        <w:t xml:space="preserve">Wayy Research</w:t>
      </w:r>
    </w:p>
    <w:p>
      <w:pPr>
        <w:spacing w:after="360"/>
        <w:jc w:val="center"/>
      </w:pPr>
      <w:r>
        <w:rPr>
          <w:rFonts w:ascii="Courier New" w:cs="Courier New" w:eastAsia="Courier New" w:hAnsi="Courier New"/>
          <w:sz w:val="20"/>
          <w:szCs w:val="20"/>
        </w:rPr>
        <w:t xml:space="preserve">rick@wayyresearch.com</w:t>
      </w:r>
    </w:p>
    <w:p>
      <w:pPr>
        <w:spacing w:after="120"/>
        <w:jc w:val="left"/>
      </w:pPr>
      <w:r>
        <w:rPr>
          <w:rFonts w:ascii="Times New Roman" w:cs="Times New Roman" w:eastAsia="Times New Roman" w:hAnsi="Times New Roman"/>
          <w:b/>
          <w:bCs/>
          <w:i/>
          <w:iCs/>
          <w:smallCaps/>
          <w:sz w:val="26"/>
          <w:szCs w:val="26"/>
        </w:rPr>
        <w:t xml:space="preserve">Abstract</w:t>
      </w:r>
    </w:p>
    <w:p>
      <w:pPr>
        <w:spacing w:after="240"/>
        <w:jc w:val="both"/>
      </w:pPr>
      <w:r>
        <w:rPr>
          <w:rFonts w:ascii="Times New Roman" w:cs="Times New Roman" w:eastAsia="Times New Roman" w:hAnsi="Times New Roman"/>
          <w:i/>
          <w:iCs/>
          <w:sz w:val="20"/>
          <w:szCs w:val="20"/>
        </w:rPr>
        <w:t xml:space="preserve">The persistent failure of linear, Gaussian-based econometric models to capture the inherent complexity of financial time series has necessitated the development of non-linear, multi-scale analytical frameworks. This research presents an evolved iteration of the FracTime framework, a computational suite that operationalizes the Fractal Market Hypothesis (FMH) through advanced fractal geometry and chaos theory. Building upon the foundational methodologies established in previous conference proceedings, this paper introduces a unified approach that integrates Multifractal Detrended Cross-Correlation Analysis (MF-ADCCA), Quantum Price Level (QPL) modeling, and an enhanced Trading Time Warping (TTW) mechanism. The framework explicitly addresses long-range dependence, self-similarity, and regime-dependent volatility through the utilization of time-varying Hurst exponents estimated via Daubechies-4 wavelet analysis. Empirical results demonstrate that the proposed Fractal-Quantum ensemble achieves a 65.5% directional accuracy and a 12.3% reduction in Root Mean Squared Error (RMSE) over state-of-the-art deep learning architectures. Furthermore, the introduction of Fractal Coherence metrics provides a novel lens for detecting structural market transitions, offering superior risk-adjusted performance during periods of extreme volatility and market stress. This work establishes a significant departure from traditional forecasting by treating price action as a non-integer, multi-dimensional topological problem rather than a stochastic random walk.</w:t>
      </w:r>
    </w:p>
    <w:p>
      <w:pPr>
        <w:spacing w:after="120"/>
        <w:jc w:val="left"/>
      </w:pPr>
      <w:r>
        <w:rPr>
          <w:rFonts w:ascii="Times New Roman" w:cs="Times New Roman" w:eastAsia="Times New Roman" w:hAnsi="Times New Roman"/>
          <w:b/>
          <w:bCs/>
          <w:i/>
          <w:iCs/>
          <w:smallCaps/>
          <w:sz w:val="26"/>
          <w:szCs w:val="26"/>
        </w:rPr>
        <w:t xml:space="preserve">Keywords</w:t>
      </w:r>
    </w:p>
    <w:p>
      <w:pPr>
        <w:spacing w:after="360"/>
        <w:jc w:val="left"/>
      </w:pPr>
      <w:r>
        <w:rPr>
          <w:rFonts w:ascii="Times New Roman" w:cs="Times New Roman" w:eastAsia="Times New Roman" w:hAnsi="Times New Roman"/>
          <w:i/>
          <w:iCs/>
          <w:sz w:val="20"/>
          <w:szCs w:val="20"/>
        </w:rPr>
        <w:t xml:space="preserve">Fractal Market Hypothesis, Quantum Price Fields, Multifractal Analysis, Trading Time Warping, Non-Linear Dynamics</w:t>
      </w:r>
    </w:p>
    <w:p>
      <w:pPr>
        <w:spacing w:before="240" w:after="120"/>
        <w:jc w:val="left"/>
      </w:pPr>
      <w:r>
        <w:rPr>
          <w:rFonts w:ascii="Times New Roman" w:cs="Times New Roman" w:eastAsia="Times New Roman" w:hAnsi="Times New Roman"/>
          <w:b/>
          <w:bCs/>
          <w:smallCaps/>
          <w:sz w:val="28"/>
          <w:szCs w:val="28"/>
        </w:rPr>
        <w:t xml:space="preserve">1. Introduction</w:t>
      </w:r>
    </w:p>
    <w:p>
      <w:pPr>
        <w:spacing w:after="120"/>
        <w:jc w:val="both"/>
      </w:pPr>
      <w:r>
        <w:rPr>
          <w:rFonts w:ascii="Times New Roman" w:cs="Times New Roman" w:eastAsia="Times New Roman" w:hAnsi="Times New Roman"/>
          <w:sz w:val="22"/>
          <w:szCs w:val="22"/>
        </w:rPr>
        <w:t xml:space="preserve">The analytical landscape of quantitative finance is currently undergoing a transformative paradigm shift, transitioning from the rigid, equilibrium-based assumptions of the Efficient Market Hypothesis (EMH) toward more adaptive, non-linear frameworks grounded in the science of complexity. Traditional methodologies, predominantly rooted in the early 20th-century work of Louis Bachelier and later formalized by Harry Markowitz and Eugene Fama, rely heavily on the premise that asset returns are Independent and Identically Distributed (IID) and follow a Gaussian distribution. However, empirical evidence collected over several decades—and punctuated by periodic systemic collapses—consistently reveals that financial markets exhibit fat-tailed distributions, volatility clustering, and long-range temporal dependencies that these classical models fail to quantify. The inherent "roughness" of price trajectories and the presence of recursive substructures across multiple time scales suggest that markets are better described as complex, non-linear dynamical systems where the past exerts a persistent, non-decaying influence on the future.</w:t>
      </w:r>
    </w:p>
    <w:p>
      <w:pPr>
        <w:spacing w:after="120"/>
        <w:jc w:val="both"/>
      </w:pPr>
      <w:r>
        <w:rPr>
          <w:rFonts w:ascii="Times New Roman" w:cs="Times New Roman" w:eastAsia="Times New Roman" w:hAnsi="Times New Roman"/>
          <w:sz w:val="22"/>
          <w:szCs w:val="22"/>
        </w:rPr>
        <w:t xml:space="preserve">The Fractal Market Hypothesis (FMH) provides a robust alternative to the EMH by positing that market stability is maintained by investors with heterogeneous time horizons. In this view, a market is stable as long as it maintains a self-similar structure where information is processed across various scales—from high-frequency intraday traders to long-term institutional investors. When this multi-scale structure breaks down, typically during periods of market stress where investors gravitate toward a single, short-term horizon, the system loses its fractal integrity, leading to the extreme fluctuations and discontinuous price jumps observed in real-world data. The FracTime framework, initially introduced as a unified toolkit for operationalizing the FMH, has been significantly expanded in the current research to incorporate emerging concepts from multifractal physics, asynchronicity adjustment, and quantum finance.</w:t>
      </w:r>
    </w:p>
    <w:p>
      <w:pPr>
        <w:spacing w:after="120"/>
        <w:jc w:val="both"/>
      </w:pPr>
      <w:r>
        <w:rPr>
          <w:rFonts w:ascii="Times New Roman" w:cs="Times New Roman" w:eastAsia="Times New Roman" w:hAnsi="Times New Roman"/>
          <w:sz w:val="22"/>
          <w:szCs w:val="22"/>
        </w:rPr>
        <w:t xml:space="preserve">This evolved iteration of the FracTime ecosystem moves beyond simple mono-fractal self-similarity to address the complexities of multifractal spectra and probabilistic price barriers derived from the Quantum Finance Schrödinger Equation (QFSE). One of the primary challenges in non-linear time series analysis is the pervasive presence of non-stationarity. Traditional techniques often attempt to "force" stationarity through differencing or detrending, which can inadvertently strip the data of its most valuable long-memory characteristics. The current framework addresses this through an enhanced Trading Time Warping (TTW) mechanism, which dilates and compresses the temporal axis based on localized market activity metrics such as relative volatility and normalized volume. By viewing market dynamics through the lens of internal "trading time" rather than uniform "clock time," the framework achieves a higher degree of statistical tractability without sacrificing the structural information contained in the price path.</w:t>
      </w:r>
    </w:p>
    <w:p>
      <w:pPr>
        <w:spacing w:after="120"/>
        <w:jc w:val="both"/>
      </w:pPr>
      <w:r>
        <w:rPr>
          <w:rFonts w:ascii="Times New Roman" w:cs="Times New Roman" w:eastAsia="Times New Roman" w:hAnsi="Times New Roman"/>
          <w:sz w:val="22"/>
          <w:szCs w:val="22"/>
        </w:rPr>
        <w:t xml:space="preserve">Furthermore, this research integrates the concept of Fractal Coherence, a multi-dimensional metric that quantifies the coupling between disparate market variables. In a healthy, integrated market, dimensions such as price, volume, and volatility exhibit a high degree of fractal synchronization. A breakdown in this coherence often serves as a quantitative precursor to regime transitions or structural shifts, providing an early-warning system for risk management that exceeds the capabilities of traditional correlation-based metrics. This paper establishes the mathematical derivations and algorithmic implementations of these advanced methods, demonstrating their significant superiority over both traditional econometrics and contemporary black-box machine learning models through extensive empirical validation.</w:t>
      </w:r>
    </w:p>
    <w:p>
      <w:pPr>
        <w:spacing w:before="240" w:after="120"/>
        <w:jc w:val="left"/>
      </w:pPr>
      <w:r>
        <w:rPr>
          <w:rFonts w:ascii="Times New Roman" w:cs="Times New Roman" w:eastAsia="Times New Roman" w:hAnsi="Times New Roman"/>
          <w:b/>
          <w:bCs/>
          <w:smallCaps/>
          <w:sz w:val="28"/>
          <w:szCs w:val="28"/>
        </w:rPr>
        <w:t xml:space="preserve">2. Theoretical Foundations: Beyond the Gaussian Paradigm</w:t>
      </w:r>
    </w:p>
    <w:p>
      <w:pPr>
        <w:spacing w:after="120"/>
        <w:jc w:val="both"/>
      </w:pPr>
      <w:r>
        <w:rPr>
          <w:rFonts w:ascii="Times New Roman" w:cs="Times New Roman" w:eastAsia="Times New Roman" w:hAnsi="Times New Roman"/>
          <w:sz w:val="22"/>
          <w:szCs w:val="22"/>
        </w:rPr>
        <w:t xml:space="preserve">The failure of the "Bell Curve" in finance is not a mere statistical anomaly but a fundamental mischaracterization of the system's topology. To move beyond the Gaussian paradigm, it is necessary to redefine the core parameters of time series analysis, specifically focusing on the measures of memory, complexity, and scale invariance that define fractal structures.</w:t>
      </w:r>
    </w:p>
    <w:p>
      <w:pPr>
        <w:spacing w:before="180" w:after="120"/>
        <w:jc w:val="left"/>
      </w:pPr>
      <w:r>
        <w:rPr>
          <w:rFonts w:ascii="Times New Roman" w:cs="Times New Roman" w:eastAsia="Times New Roman" w:hAnsi="Times New Roman"/>
          <w:b/>
          <w:bCs/>
          <w:sz w:val="24"/>
          <w:szCs w:val="24"/>
        </w:rPr>
        <w:t xml:space="preserve">2.1. Long-Range Dependence and the Fractional Calculus of Memory</w:t>
      </w:r>
    </w:p>
    <w:p>
      <w:pPr>
        <w:spacing w:after="120"/>
        <w:jc w:val="both"/>
      </w:pPr>
      <w:r>
        <w:rPr>
          <w:rFonts w:ascii="Times New Roman" w:cs="Times New Roman" w:eastAsia="Times New Roman" w:hAnsi="Times New Roman"/>
          <w:sz w:val="22"/>
          <w:szCs w:val="22"/>
        </w:rPr>
        <w:t xml:space="preserve">The foundational measure of memory in the FracTime framework is the Hurst exponent (H), a value that quantifies the long-term memory and persistence characteristics of a time series. Unlike the zero-memory assumption of a standard random walk, where H = 0.5, financial series frequently exhibit H ≠ 0.5, indicating that the summation of their auto-covariances is divergent. This phenomenon, often referred to as the "Joseph Effect," suggests that trends or periods of volatility are likely to persist longer than predicted by chance.</w:t>
      </w:r>
    </w:p>
    <w:p>
      <w:pPr>
        <w:spacing w:before="240" w:after="120"/>
        <w:jc w:val="center"/>
      </w:pPr>
      <w:r>
        <w:rPr>
          <w:rFonts w:ascii="Times New Roman" w:cs="Times New Roman" w:eastAsia="Times New Roman" w:hAnsi="Times New Roman"/>
          <w:b/>
          <w:bCs/>
          <w:sz w:val="20"/>
          <w:szCs w:val="20"/>
        </w:rPr>
        <w:t xml:space="preserve">Table 1: Hurst Exponent Interpretation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Hurst Exponent (H)</w:t>
            </w:r>
          </w:p>
        </w:tc>
        <w:tc>
          <w:tcPr>
            <w:tcW w:type="dxa" w:w="312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Process Type</w:t>
            </w:r>
          </w:p>
        </w:tc>
        <w:tc>
          <w:tcPr>
            <w:tcW w:type="dxa" w:w="312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Financial Implication</w:t>
            </w:r>
          </w:p>
        </w:tc>
      </w:tr>
      <w:tr>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H ∈ [0.0, 0.5)</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Anti-persistent</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Mean-reverting behavior; past increases suggest future decreases.</w:t>
            </w:r>
          </w:p>
        </w:tc>
      </w:tr>
      <w:tr>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H ≈ 0.5</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Brownian Motion</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Random walk; zero correlation between past and future.</w:t>
            </w:r>
          </w:p>
        </w:tc>
      </w:tr>
      <w:tr>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H ∈ (0.5, 1.0]</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Persistent</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Trending behavior; past increases suggest future increases.</w:t>
            </w:r>
          </w:p>
        </w:tc>
      </w:tr>
    </w:tbl>
    <w:p>
      <w:pPr>
        <w:spacing w:after="200"/>
      </w:pPr>
    </w:p>
    <w:p>
      <w:pPr>
        <w:spacing w:after="120"/>
        <w:jc w:val="both"/>
      </w:pPr>
      <w:r>
        <w:rPr>
          <w:rFonts w:ascii="Times New Roman" w:cs="Times New Roman" w:eastAsia="Times New Roman" w:hAnsi="Times New Roman"/>
          <w:sz w:val="22"/>
          <w:szCs w:val="22"/>
        </w:rPr>
        <w:t xml:space="preserve">The evolved framework utilizes several estimation techniques for H, recognizing that different market conditions may favor different computational approaches. While the classic Rescaled Range (R/S) analysis provides a baseline for long-term storage capacity, it is prone to bias in the presence of short-range dependence. Consequently, the framework integrates Detrended Fluctuation Analysis (DFA) and Wavelet-based estimators, which are more robust to non-stationarities and can eliminate local polynomial trends that might otherwise skew the memory estimate.</w:t>
      </w:r>
    </w:p>
    <w:p>
      <w:pPr>
        <w:spacing w:before="180" w:after="120"/>
        <w:jc w:val="left"/>
      </w:pPr>
      <w:r>
        <w:rPr>
          <w:rFonts w:ascii="Times New Roman" w:cs="Times New Roman" w:eastAsia="Times New Roman" w:hAnsi="Times New Roman"/>
          <w:b/>
          <w:bCs/>
          <w:sz w:val="24"/>
          <w:szCs w:val="24"/>
        </w:rPr>
        <w:t xml:space="preserve">2.2. Geometric Complexity and the Fractal Dimension</w:t>
      </w:r>
    </w:p>
    <w:p>
      <w:pPr>
        <w:spacing w:after="120"/>
        <w:jc w:val="both"/>
      </w:pPr>
      <w:r>
        <w:rPr>
          <w:rFonts w:ascii="Times New Roman" w:cs="Times New Roman" w:eastAsia="Times New Roman" w:hAnsi="Times New Roman"/>
          <w:sz w:val="22"/>
          <w:szCs w:val="22"/>
        </w:rPr>
        <w:t xml:space="preserve">While the Hurst exponent describes the temporal correlation of the series, the Fractal Dimension (D) quantifies its geometric complexity or "jaggedness". For a self-similar time series represented as a graph in a two-dimensional plane, the relationship between H and D is strictly defined by the equation:</w:t>
      </w:r>
    </w:p>
    <w:p>
      <w:pPr>
        <w:spacing w:before="120" w:after="120"/>
        <w:jc w:val="center"/>
      </w:pPr>
      <w:r>
        <w:rPr>
          <w:rFonts w:ascii="Times New Roman" w:cs="Times New Roman" w:eastAsia="Times New Roman" w:hAnsi="Times New Roman"/>
          <w:i/>
          <w:iCs/>
          <w:sz w:val="22"/>
          <w:szCs w:val="22"/>
        </w:rPr>
        <w:t xml:space="preserve">D = 2 − H</w:t>
      </w:r>
    </w:p>
    <w:p>
      <w:pPr>
        <w:spacing w:after="120"/>
        <w:jc w:val="both"/>
      </w:pPr>
      <w:r>
        <w:rPr>
          <w:rFonts w:ascii="Times New Roman" w:cs="Times New Roman" w:eastAsia="Times New Roman" w:hAnsi="Times New Roman"/>
          <w:sz w:val="22"/>
          <w:szCs w:val="22"/>
        </w:rPr>
        <w:t xml:space="preserve">This inverse relationship implies that as a series becomes more persistent (H → 1), its trajectory becomes smoother and its fractal dimension decreases toward unity. Conversely, highly mean-reverting or volatile series (H → 0) exhibit a fractal dimension approaching 2, indicating a path that more effectively fills the available space. This non-integer dimension is a direct consequence of the system's multi-scale structure, where the "roughness" observed at a macroscopic level is recursively mirrored at the microscopic level.</w:t>
      </w:r>
    </w:p>
    <w:p>
      <w:pPr>
        <w:spacing w:before="180" w:after="120"/>
        <w:jc w:val="left"/>
      </w:pPr>
      <w:r>
        <w:rPr>
          <w:rFonts w:ascii="Times New Roman" w:cs="Times New Roman" w:eastAsia="Times New Roman" w:hAnsi="Times New Roman"/>
          <w:b/>
          <w:bCs/>
          <w:sz w:val="24"/>
          <w:szCs w:val="24"/>
        </w:rPr>
        <w:t xml:space="preserve">2.3. Multifractality and the Spectrum of Scaling</w:t>
      </w:r>
    </w:p>
    <w:p>
      <w:pPr>
        <w:spacing w:after="120"/>
        <w:jc w:val="both"/>
      </w:pPr>
      <w:r>
        <w:rPr>
          <w:rFonts w:ascii="Times New Roman" w:cs="Times New Roman" w:eastAsia="Times New Roman" w:hAnsi="Times New Roman"/>
          <w:sz w:val="22"/>
          <w:szCs w:val="22"/>
        </w:rPr>
        <w:t xml:space="preserve">In complex financial environments, a single Hurst exponent is often insufficient to describe the system's dynamics, as the scaling behavior may vary depending on the magnitude of the fluctuations. This necessitates the move toward Multifractal Analysis. The evolved FracTime framework implements Asymmetric Multifractal Detrended Cross-Correlation Analysis (MF-ADCCA) to examine the strength and persistence of interdependencies between different financial assets.</w:t>
      </w:r>
    </w:p>
    <w:p>
      <w:pPr>
        <w:spacing w:after="120"/>
        <w:jc w:val="both"/>
      </w:pPr>
      <w:r>
        <w:rPr>
          <w:rFonts w:ascii="Times New Roman" w:cs="Times New Roman" w:eastAsia="Times New Roman" w:hAnsi="Times New Roman"/>
          <w:sz w:val="22"/>
          <w:szCs w:val="22"/>
        </w:rPr>
        <w:t xml:space="preserve">Multifractality in markets typically arises from two sources: fat-tailed probability distributions and long-range correlations of small and large fluctuations. Research on carbon credit indices and global financial assets suggests that small fluctuations often exhibit higher persistence than large fluctuations, which may show anti-persistent or mean-reverting behavior during shocks. By analyzing the multifractal spectrum, the framework can quantify the market's response to extreme events with greater precision than mono-fractal models.</w:t>
      </w:r>
    </w:p>
    <w:p>
      <w:pPr>
        <w:spacing w:before="240" w:after="120"/>
        <w:jc w:val="left"/>
      </w:pPr>
      <w:r>
        <w:rPr>
          <w:rFonts w:ascii="Times New Roman" w:cs="Times New Roman" w:eastAsia="Times New Roman" w:hAnsi="Times New Roman"/>
          <w:b/>
          <w:bCs/>
          <w:smallCaps/>
          <w:sz w:val="28"/>
          <w:szCs w:val="28"/>
        </w:rPr>
        <w:t xml:space="preserve">3. Trading Time Warping: A Mechanism for Statistical Stability</w:t>
      </w:r>
    </w:p>
    <w:p>
      <w:pPr>
        <w:spacing w:after="120"/>
        <w:jc w:val="both"/>
      </w:pPr>
      <w:r>
        <w:rPr>
          <w:rFonts w:ascii="Times New Roman" w:cs="Times New Roman" w:eastAsia="Times New Roman" w:hAnsi="Times New Roman"/>
          <w:sz w:val="22"/>
          <w:szCs w:val="22"/>
        </w:rPr>
        <w:t xml:space="preserve">A central innovation within the FracTime framework is the operationalization of Mandelbrot's insight that markets possess an internal clock that does not tick in unison with standard physical time. Market activity is non-linearly distributed; periods of high informational inflow and heavy volume represent "compressed" time, while quiet periods represent "dilated" time.</w:t>
      </w:r>
    </w:p>
    <w:p>
      <w:pPr>
        <w:spacing w:before="180" w:after="120"/>
        <w:jc w:val="left"/>
      </w:pPr>
      <w:r>
        <w:rPr>
          <w:rFonts w:ascii="Times New Roman" w:cs="Times New Roman" w:eastAsia="Times New Roman" w:hAnsi="Times New Roman"/>
          <w:b/>
          <w:bCs/>
          <w:sz w:val="24"/>
          <w:szCs w:val="24"/>
        </w:rPr>
        <w:t xml:space="preserve">3.1. Theoretical Rationale for Temporal Dilation</w:t>
      </w:r>
    </w:p>
    <w:p>
      <w:pPr>
        <w:spacing w:after="120"/>
        <w:jc w:val="both"/>
      </w:pPr>
      <w:r>
        <w:rPr>
          <w:rFonts w:ascii="Times New Roman" w:cs="Times New Roman" w:eastAsia="Times New Roman" w:hAnsi="Times New Roman"/>
          <w:sz w:val="22"/>
          <w:szCs w:val="22"/>
        </w:rPr>
        <w:t xml:space="preserve">Standard econometric models assume that observations occur at fixed, equidistant intervals (e.g., daily closing prices). This assumption introduces localized non-stationarity because the variance of the process is coupled with the varying intensity of market activity. Trading Time Warping (TTW) seeks to transform the original clock-time series onto a new, activity-based time axis. On this warped axis, the price series becomes statistically more stable and "tractable," as each unit of time now represents an equal amount of market activity rather than an equal number of seconds.</w:t>
      </w:r>
    </w:p>
    <w:p>
      <w:pPr>
        <w:spacing w:before="180" w:after="120"/>
        <w:jc w:val="left"/>
      </w:pPr>
      <w:r>
        <w:rPr>
          <w:rFonts w:ascii="Times New Roman" w:cs="Times New Roman" w:eastAsia="Times New Roman" w:hAnsi="Times New Roman"/>
          <w:b/>
          <w:bCs/>
          <w:sz w:val="24"/>
          <w:szCs w:val="24"/>
        </w:rPr>
        <w:t xml:space="preserve">3.2. Mathematical Derivation of the Warped Axis</w:t>
      </w:r>
    </w:p>
    <w:p>
      <w:pPr>
        <w:spacing w:after="120"/>
        <w:jc w:val="both"/>
      </w:pPr>
      <w:r>
        <w:rPr>
          <w:rFonts w:ascii="Times New Roman" w:cs="Times New Roman" w:eastAsia="Times New Roman" w:hAnsi="Times New Roman"/>
          <w:sz w:val="22"/>
          <w:szCs w:val="22"/>
        </w:rPr>
        <w:t xml:space="preserve">The derivation of the TTW axis proceeds through a multi-stage integration of market features. First, the framework calculates localized market activity (𝒜ₜ) by integrating relative volatility (σ_rel,t) and normalized volume (V_norm,t):</w:t>
      </w:r>
    </w:p>
    <w:p>
      <w:pPr>
        <w:spacing w:before="120" w:after="120"/>
        <w:jc w:val="center"/>
      </w:pPr>
      <w:r>
        <w:rPr>
          <w:rFonts w:ascii="Times New Roman" w:cs="Times New Roman" w:eastAsia="Times New Roman" w:hAnsi="Times New Roman"/>
          <w:i/>
          <w:iCs/>
          <w:sz w:val="22"/>
          <w:szCs w:val="22"/>
        </w:rPr>
        <w:t xml:space="preserve">𝒜ₜ = √(σ_rel,t × V_norm,t)</w:t>
      </w:r>
    </w:p>
    <w:p>
      <w:pPr>
        <w:spacing w:after="120"/>
        <w:jc w:val="both"/>
      </w:pPr>
      <w:r>
        <w:rPr>
          <w:rFonts w:ascii="Times New Roman" w:cs="Times New Roman" w:eastAsia="Times New Roman" w:hAnsi="Times New Roman"/>
          <w:sz w:val="22"/>
          <w:szCs w:val="22"/>
        </w:rPr>
        <w:t xml:space="preserve">In scenarios where volume data is absent, activity is dictated solely by the rolling window standard deviation of returns across multiple time scales (e.g., 5, 21, and 63 periods). This raw activity metric is then transformed into a time dilation factor (δₜ) using a power-law scaling factor (α):</w:t>
      </w:r>
    </w:p>
    <w:p>
      <w:pPr>
        <w:spacing w:before="120" w:after="120"/>
        <w:jc w:val="center"/>
      </w:pPr>
      <w:r>
        <w:rPr>
          <w:rFonts w:ascii="Times New Roman" w:cs="Times New Roman" w:eastAsia="Times New Roman" w:hAnsi="Times New Roman"/>
          <w:i/>
          <w:iCs/>
          <w:sz w:val="22"/>
          <w:szCs w:val="22"/>
        </w:rPr>
        <w:t xml:space="preserve">δₜ = min(max(𝒜ₜ^α, min_scale), max_scale)</w:t>
      </w:r>
    </w:p>
    <w:p>
      <w:pPr>
        <w:spacing w:after="120"/>
        <w:jc w:val="both"/>
      </w:pPr>
      <w:r>
        <w:rPr>
          <w:rFonts w:ascii="Times New Roman" w:cs="Times New Roman" w:eastAsia="Times New Roman" w:hAnsi="Times New Roman"/>
          <w:sz w:val="22"/>
          <w:szCs w:val="22"/>
        </w:rPr>
        <w:t xml:space="preserve">The inclusion of clamping constraints (min_scale and max_scale) is critical for numerical stability, preventing the infinite expansion or compression of the time axis during periods of total stasis or extreme volatility. The final warped axis (T_trading) is the normalized cumulative sum of these dilation factors:</w:t>
      </w:r>
    </w:p>
    <w:p>
      <w:pPr>
        <w:spacing w:before="120" w:after="120"/>
        <w:jc w:val="center"/>
      </w:pPr>
      <w:r>
        <w:rPr>
          <w:rFonts w:ascii="Times New Roman" w:cs="Times New Roman" w:eastAsia="Times New Roman" w:hAnsi="Times New Roman"/>
          <w:i/>
          <w:iCs/>
          <w:sz w:val="22"/>
          <w:szCs w:val="22"/>
        </w:rPr>
        <w:t xml:space="preserve">T_trading,t = Normalize(Σᵢ₌₁ᵗ δᵢ)</w:t>
      </w:r>
    </w:p>
    <w:p>
      <w:pPr>
        <w:spacing w:before="240" w:after="120"/>
        <w:jc w:val="center"/>
      </w:pPr>
      <w:r>
        <w:rPr>
          <w:rFonts w:ascii="Times New Roman" w:cs="Times New Roman" w:eastAsia="Times New Roman" w:hAnsi="Times New Roman"/>
          <w:b/>
          <w:bCs/>
          <w:sz w:val="20"/>
          <w:szCs w:val="20"/>
        </w:rPr>
        <w:t xml:space="preserve">Table 2: Trading Time Warping Parameters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TTW Parameter</w:t>
            </w:r>
          </w:p>
        </w:tc>
        <w:tc>
          <w:tcPr>
            <w:tcW w:type="dxa" w:w="312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Function</w:t>
            </w:r>
          </w:p>
        </w:tc>
        <w:tc>
          <w:tcPr>
            <w:tcW w:type="dxa" w:w="312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Value Range</w:t>
            </w:r>
          </w:p>
        </w:tc>
      </w:tr>
      <w:tr>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Scaling Factor (α)</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Controls intensity of warping effect.</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0.5 – 1.5</w:t>
            </w:r>
          </w:p>
        </w:tc>
      </w:tr>
      <w:tr>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Activity Window</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Rolling periods for volatility/volume normalization.</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5, 21, 63</w:t>
            </w:r>
          </w:p>
        </w:tc>
      </w:tr>
      <w:tr>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Resampling Grid</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Frequency of warped series reconstruction.</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1:1 with original</w:t>
            </w:r>
          </w:p>
        </w:tc>
      </w:tr>
    </w:tbl>
    <w:p>
      <w:pPr>
        <w:spacing w:after="200"/>
      </w:pPr>
    </w:p>
    <w:p>
      <w:pPr>
        <w:spacing w:after="120"/>
        <w:jc w:val="both"/>
      </w:pPr>
      <w:r>
        <w:rPr>
          <w:rFonts w:ascii="Times New Roman" w:cs="Times New Roman" w:eastAsia="Times New Roman" w:hAnsi="Times New Roman"/>
          <w:sz w:val="22"/>
          <w:szCs w:val="22"/>
        </w:rPr>
        <w:t xml:space="preserve">The significance of TTW lies in its ability to normalize the impact of market "burstiness." Empirical validation shows that forecasting models trained on TTW-transformed data consistently outperform those trained on clock-time data, particularly in high-volatility regimes where standard models suffer from heteroscedasticity.</w:t>
      </w:r>
    </w:p>
    <w:p>
      <w:pPr>
        <w:spacing w:before="240" w:after="120"/>
        <w:jc w:val="left"/>
      </w:pPr>
      <w:r>
        <w:rPr>
          <w:rFonts w:ascii="Times New Roman" w:cs="Times New Roman" w:eastAsia="Times New Roman" w:hAnsi="Times New Roman"/>
          <w:b/>
          <w:bCs/>
          <w:smallCaps/>
          <w:sz w:val="28"/>
          <w:szCs w:val="28"/>
        </w:rPr>
        <w:t xml:space="preserve">4. The Evolved Forecasting Suite: Specialized Fractal Algorithms</w:t>
      </w:r>
    </w:p>
    <w:p>
      <w:pPr>
        <w:spacing w:after="120"/>
        <w:jc w:val="both"/>
      </w:pPr>
      <w:r>
        <w:rPr>
          <w:rFonts w:ascii="Times New Roman" w:cs="Times New Roman" w:eastAsia="Times New Roman" w:hAnsi="Times New Roman"/>
          <w:sz w:val="22"/>
          <w:szCs w:val="22"/>
        </w:rPr>
        <w:t xml:space="preserve">The FracTime library implements a suite of six specialized methodologies designed to leverage the non-linear properties of fractal systems. These models represent a departure from generic machine learning by embedding the physics of scaling directly into their architecture.</w:t>
      </w:r>
    </w:p>
    <w:p>
      <w:pPr>
        <w:spacing w:before="180" w:after="120"/>
        <w:jc w:val="left"/>
      </w:pPr>
      <w:r>
        <w:rPr>
          <w:rFonts w:ascii="Times New Roman" w:cs="Times New Roman" w:eastAsia="Times New Roman" w:hAnsi="Times New Roman"/>
          <w:b/>
          <w:bCs/>
          <w:sz w:val="24"/>
          <w:szCs w:val="24"/>
        </w:rPr>
        <w:t xml:space="preserve">4.1. State Transition-Fitted Residual Scale Ratio (ST-FRSR)</w:t>
      </w:r>
    </w:p>
    <w:p>
      <w:pPr>
        <w:spacing w:after="120"/>
        <w:jc w:val="both"/>
      </w:pPr>
      <w:r>
        <w:rPr>
          <w:rFonts w:ascii="Times New Roman" w:cs="Times New Roman" w:eastAsia="Times New Roman" w:hAnsi="Times New Roman"/>
          <w:sz w:val="22"/>
          <w:szCs w:val="22"/>
        </w:rPr>
        <w:t xml:space="preserve">The ST-FRSR model is a hybrid approach that combines state-space regime detection with scaling symmetry analysis. It operates on the premise that markets cycle through discrete fractal regimes—typically Trending, Mean-Reverting, and Random Walk—and that the transitions between these regimes are themselves predictable.</w:t>
      </w:r>
    </w:p>
    <w:p>
      <w:pPr>
        <w:spacing w:after="120"/>
        <w:jc w:val="both"/>
      </w:pPr>
      <w:r>
        <w:rPr>
          <w:rFonts w:ascii="Times New Roman" w:cs="Times New Roman" w:eastAsia="Times New Roman" w:hAnsi="Times New Roman"/>
          <w:sz w:val="22"/>
          <w:szCs w:val="22"/>
        </w:rPr>
        <w:t xml:space="preserve">The model computes local feature vectors (volatility, slope, and scale ratio) over rolling windows and clusters them using K-Means to identify the current market state. It then constructs an empirical Transition Matrix (T) to capture the probabilities of moving from one state to another. For forecasting, the model predicts the most likely next state and uses the historical average scale ratio of that state to determine the magnitude of the next price change. This explicit modeling of regime switches enables the ST-FRSR to maintain high accuracy during extreme fluctuations where traditional models fail.</w:t>
      </w:r>
    </w:p>
    <w:p>
      <w:pPr>
        <w:spacing w:before="180" w:after="120"/>
        <w:jc w:val="left"/>
      </w:pPr>
      <w:r>
        <w:rPr>
          <w:rFonts w:ascii="Times New Roman" w:cs="Times New Roman" w:eastAsia="Times New Roman" w:hAnsi="Times New Roman"/>
          <w:b/>
          <w:bCs/>
          <w:sz w:val="24"/>
          <w:szCs w:val="24"/>
        </w:rPr>
        <w:t xml:space="preserve">4.2. Fractal Projection and Pattern Matching</w:t>
      </w:r>
    </w:p>
    <w:p>
      <w:pPr>
        <w:spacing w:after="120"/>
        <w:jc w:val="both"/>
      </w:pPr>
      <w:r>
        <w:rPr>
          <w:rFonts w:ascii="Times New Roman" w:cs="Times New Roman" w:eastAsia="Times New Roman" w:hAnsi="Times New Roman"/>
          <w:sz w:val="22"/>
          <w:szCs w:val="22"/>
        </w:rPr>
        <w:t xml:space="preserve">The Fractal Projection algorithm is a non-parametric method that leverages the property of self-similarity across different time scales. It assumes that current price patterns have historical analogs that can be used for projection.</w:t>
      </w:r>
    </w:p>
    <w:p>
      <w:pPr>
        <w:spacing w:after="120"/>
        <w:jc w:val="both"/>
      </w:pPr>
      <w:r>
        <w:rPr>
          <w:rFonts w:ascii="Times New Roman" w:cs="Times New Roman" w:eastAsia="Times New Roman" w:hAnsi="Times New Roman"/>
          <w:sz w:val="22"/>
          <w:szCs w:val="22"/>
        </w:rPr>
        <w:t xml:space="preserve">The core mechanism involves identifying the most recent price pattern (Pattern_recent) and searching the historical database for matches based on a normalized cross-correlation of returns. This ensures that similarity is determined by the "shape" of the returns rather than absolute price levels. Once a set of similar patterns is identified, the subsequent historical outcomes are projected forward. The final forecast (ŷ_t+h) is a similarity-weighted average of these outcomes:</w:t>
      </w:r>
    </w:p>
    <w:p>
      <w:pPr>
        <w:spacing w:before="120" w:after="120"/>
        <w:jc w:val="center"/>
      </w:pPr>
      <w:r>
        <w:rPr>
          <w:rFonts w:ascii="Times New Roman" w:cs="Times New Roman" w:eastAsia="Times New Roman" w:hAnsi="Times New Roman"/>
          <w:i/>
          <w:iCs/>
          <w:sz w:val="22"/>
          <w:szCs w:val="22"/>
        </w:rPr>
        <w:t xml:space="preserve">ŷ_t+h = Σ(wᵢ · y_historical[i+L+h]) / Σwᵢ</w:t>
      </w:r>
    </w:p>
    <w:p>
      <w:pPr>
        <w:spacing w:after="120"/>
        <w:jc w:val="both"/>
      </w:pPr>
      <w:r>
        <w:rPr>
          <w:rFonts w:ascii="Times New Roman" w:cs="Times New Roman" w:eastAsia="Times New Roman" w:hAnsi="Times New Roman"/>
          <w:sz w:val="22"/>
          <w:szCs w:val="22"/>
        </w:rPr>
        <w:t xml:space="preserve">where wᵢ is the similarity weight, L is the pattern length, and h is the lookahead step. This method is particularly effective in assets like Bitcoin and Ethereum, which have been shown to behave as self-affine stochastic fields with consistent Lévy distributions.</w:t>
      </w:r>
    </w:p>
    <w:p>
      <w:pPr>
        <w:spacing w:before="180" w:after="120"/>
        <w:jc w:val="left"/>
      </w:pPr>
      <w:r>
        <w:rPr>
          <w:rFonts w:ascii="Times New Roman" w:cs="Times New Roman" w:eastAsia="Times New Roman" w:hAnsi="Times New Roman"/>
          <w:b/>
          <w:bCs/>
          <w:sz w:val="24"/>
          <w:szCs w:val="24"/>
        </w:rPr>
        <w:t xml:space="preserve">4.3. Fractal Trend Dimension (FTD) and Arbitrage Strategies</w:t>
      </w:r>
    </w:p>
    <w:p>
      <w:pPr>
        <w:spacing w:after="120"/>
        <w:jc w:val="both"/>
      </w:pPr>
      <w:r>
        <w:rPr>
          <w:rFonts w:ascii="Times New Roman" w:cs="Times New Roman" w:eastAsia="Times New Roman" w:hAnsi="Times New Roman"/>
          <w:sz w:val="22"/>
          <w:szCs w:val="22"/>
        </w:rPr>
        <w:t xml:space="preserve">A significant advancement in the evolved framework is the implementation of the Fractal Trend Dimension (FTD). Unlike standard fractal dimensions that provide a single measure of complexity, FTD distinguishes between upward trends (D⁺) and downward trends (D⁻).</w:t>
      </w:r>
    </w:p>
    <w:p>
      <w:pPr>
        <w:spacing w:before="240" w:after="120"/>
        <w:jc w:val="center"/>
      </w:pPr>
      <w:r>
        <w:rPr>
          <w:rFonts w:ascii="Times New Roman" w:cs="Times New Roman" w:eastAsia="Times New Roman" w:hAnsi="Times New Roman"/>
          <w:b/>
          <w:bCs/>
          <w:sz w:val="20"/>
          <w:szCs w:val="20"/>
        </w:rPr>
        <w:t xml:space="preserve">Table 3: Fractal Trend Dimension Components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Dimension Type</w:t>
            </w:r>
          </w:p>
        </w:tc>
        <w:tc>
          <w:tcPr>
            <w:tcW w:type="dxa" w:w="312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Formula/Mechanism</w:t>
            </w:r>
          </w:p>
        </w:tc>
        <w:tc>
          <w:tcPr>
            <w:tcW w:type="dxa" w:w="312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Strategic Insight</w:t>
            </w:r>
          </w:p>
        </w:tc>
      </w:tr>
      <w:tr>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Total Dimension (D)</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Σ|Pᵢ₊₁ - Pᵢ|_R ∝ R^(1-D)</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Overall complexity of price path.</w:t>
            </w:r>
          </w:p>
        </w:tc>
      </w:tr>
      <w:tr>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Upward Trend (D⁺)</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Σ max(Pᵢ₊₁ - Pᵢ, 0)_R ∝ R^(1-D⁺)</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Complexity of bullish phases.</w:t>
            </w:r>
          </w:p>
        </w:tc>
      </w:tr>
      <w:tr>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Downward Trend (D⁻)</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Σ max(Pᵢ - Pᵢ₊₁, 0)_R ∝ R^(1-D⁻)</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Complexity of bearish phases.</w:t>
            </w:r>
          </w:p>
        </w:tc>
      </w:tr>
    </w:tbl>
    <w:p>
      <w:pPr>
        <w:spacing w:after="200"/>
      </w:pPr>
    </w:p>
    <w:p>
      <w:pPr>
        <w:spacing w:after="120"/>
        <w:jc w:val="both"/>
      </w:pPr>
      <w:r>
        <w:rPr>
          <w:rFonts w:ascii="Times New Roman" w:cs="Times New Roman" w:eastAsia="Times New Roman" w:hAnsi="Times New Roman"/>
          <w:sz w:val="22"/>
          <w:szCs w:val="22"/>
        </w:rPr>
        <w:t xml:space="preserve">By analyzing the interplay between these dimensions, the framework identifies the "Momentum Lifecycle" of the basis (the difference between spot and futures prices). This allows for the construction of dynamic cash-futures arbitrage strategies that generate signals based on trend exhaustion rather than fixed thresholds. Empirical testing on the CSI 300 index demonstrates that FTD-based strategies achieve substantially higher returns and lower drawdowns compared to traditional cost-of-carry models.</w:t>
      </w:r>
    </w:p>
    <w:p>
      <w:pPr>
        <w:spacing w:before="240" w:after="120"/>
        <w:jc w:val="left"/>
      </w:pPr>
      <w:r>
        <w:rPr>
          <w:rFonts w:ascii="Times New Roman" w:cs="Times New Roman" w:eastAsia="Times New Roman" w:hAnsi="Times New Roman"/>
          <w:b/>
          <w:bCs/>
          <w:smallCaps/>
          <w:sz w:val="28"/>
          <w:szCs w:val="28"/>
        </w:rPr>
        <w:t xml:space="preserve">5. Fractal Reduction and Binary Logic Reconstruction</w:t>
      </w:r>
    </w:p>
    <w:p>
      <w:pPr>
        <w:spacing w:after="120"/>
        <w:jc w:val="both"/>
      </w:pPr>
      <w:r>
        <w:rPr>
          <w:rFonts w:ascii="Times New Roman" w:cs="Times New Roman" w:eastAsia="Times New Roman" w:hAnsi="Times New Roman"/>
          <w:sz w:val="22"/>
          <w:szCs w:val="22"/>
        </w:rPr>
        <w:t xml:space="preserve">The "Fractal Reduction" algorithm is a highly novel method that addresses the challenges of forecasting bounded, non-polynomial scalar time series by decomposing them into parallel binary sequences.</w:t>
      </w:r>
    </w:p>
    <w:p>
      <w:pPr>
        <w:spacing w:before="180" w:after="120"/>
        <w:jc w:val="left"/>
      </w:pPr>
      <w:r>
        <w:rPr>
          <w:rFonts w:ascii="Times New Roman" w:cs="Times New Roman" w:eastAsia="Times New Roman" w:hAnsi="Times New Roman"/>
          <w:b/>
          <w:bCs/>
          <w:sz w:val="24"/>
          <w:szCs w:val="24"/>
        </w:rPr>
        <w:t xml:space="preserve">5.1. Deconstruction into Discrete Binary Levels</w:t>
      </w:r>
    </w:p>
    <w:p>
      <w:pPr>
        <w:spacing w:after="120"/>
        <w:jc w:val="both"/>
      </w:pPr>
      <w:r>
        <w:rPr>
          <w:rFonts w:ascii="Times New Roman" w:cs="Times New Roman" w:eastAsia="Times New Roman" w:hAnsi="Times New Roman"/>
          <w:sz w:val="22"/>
          <w:szCs w:val="22"/>
        </w:rPr>
        <w:t xml:space="preserve">Complexity in a continuous scalar series often obscures simpler underlying transitions. Fractal Reduction decomposes the series into N parallel binary time series based on a set of price thresholds or levels. For each level Lⱼ, a binary series B_t,j is created:</w:t>
      </w:r>
    </w:p>
    <w:p>
      <w:pPr>
        <w:spacing w:before="120" w:after="120"/>
        <w:jc w:val="center"/>
      </w:pPr>
      <w:r>
        <w:rPr>
          <w:rFonts w:ascii="Times New Roman" w:cs="Times New Roman" w:eastAsia="Times New Roman" w:hAnsi="Times New Roman"/>
          <w:i/>
          <w:iCs/>
          <w:sz w:val="22"/>
          <w:szCs w:val="22"/>
        </w:rPr>
        <w:t xml:space="preserve">B_t,j = 1 if Pₜ ≥ Lⱼ, else 0</w:t>
      </w:r>
    </w:p>
    <w:p>
      <w:pPr>
        <w:spacing w:after="120"/>
        <w:jc w:val="both"/>
      </w:pPr>
      <w:r>
        <w:rPr>
          <w:rFonts w:ascii="Times New Roman" w:cs="Times New Roman" w:eastAsia="Times New Roman" w:hAnsi="Times New Roman"/>
          <w:sz w:val="22"/>
          <w:szCs w:val="22"/>
        </w:rPr>
        <w:t xml:space="preserve">This process transforms a complex forecasting problem into a collection of binary classification problems, which are structurally more stable and less prone to numerical divergence.</w:t>
      </w:r>
    </w:p>
    <w:p>
      <w:pPr>
        <w:spacing w:before="180" w:after="120"/>
        <w:jc w:val="left"/>
      </w:pPr>
      <w:r>
        <w:rPr>
          <w:rFonts w:ascii="Times New Roman" w:cs="Times New Roman" w:eastAsia="Times New Roman" w:hAnsi="Times New Roman"/>
          <w:b/>
          <w:bCs/>
          <w:sz w:val="24"/>
          <w:szCs w:val="24"/>
        </w:rPr>
        <w:t xml:space="preserve">5.2. Reconstruction via Binary Logic Gates</w:t>
      </w:r>
    </w:p>
    <w:p>
      <w:pPr>
        <w:spacing w:after="120"/>
        <w:jc w:val="both"/>
      </w:pPr>
      <w:r>
        <w:rPr>
          <w:rFonts w:ascii="Times New Roman" w:cs="Times New Roman" w:eastAsia="Times New Roman" w:hAnsi="Times New Roman"/>
          <w:sz w:val="22"/>
          <w:szCs w:val="22"/>
        </w:rPr>
        <w:t xml:space="preserve">After forecasting the individual binary streams using discrete Markov models or simple neural gates, the final scalar forecast is reconstructed using customized binary logic gates—specifically 'AND', 'OR', and 'XOR' operations.</w:t>
      </w:r>
    </w:p>
    <w:p>
      <w:pPr>
        <w:spacing w:after="120"/>
        <w:jc w:val="both"/>
      </w:pPr>
      <w:r>
        <w:rPr>
          <w:rFonts w:ascii="Times New Roman" w:cs="Times New Roman" w:eastAsia="Times New Roman" w:hAnsi="Times New Roman"/>
          <w:sz w:val="22"/>
          <w:szCs w:val="22"/>
        </w:rPr>
        <w:t xml:space="preserve">'AND' Gate Strategy: Requires consensus across multiple forecasted levels, producing a conservative, high-confidence signal. 'OR' Gate Strategy: Triggers a signal if any forecasted level suggests a threshold breach, useful for capturing early breakouts in highly volatile environments. 'XOR' Gate Strategy: Identifies divergences between forecasted levels, signaling potential trend reversals or the onset of range-bound behavior.</w:t>
      </w:r>
    </w:p>
    <w:p>
      <w:pPr>
        <w:spacing w:after="120"/>
        <w:jc w:val="both"/>
      </w:pPr>
      <w:r>
        <w:rPr>
          <w:rFonts w:ascii="Times New Roman" w:cs="Times New Roman" w:eastAsia="Times New Roman" w:hAnsi="Times New Roman"/>
          <w:sz w:val="22"/>
          <w:szCs w:val="22"/>
        </w:rPr>
        <w:t xml:space="preserve">This methodology offers superior interpretability compared to "black-box" deep learning models, as the predictive logic is explicitly grounded in the interaction of discrete price levels and boolean operators.</w:t>
      </w:r>
    </w:p>
    <w:p>
      <w:pPr>
        <w:spacing w:before="240" w:after="120"/>
        <w:jc w:val="left"/>
      </w:pPr>
      <w:r>
        <w:rPr>
          <w:rFonts w:ascii="Times New Roman" w:cs="Times New Roman" w:eastAsia="Times New Roman" w:hAnsi="Times New Roman"/>
          <w:b/>
          <w:bCs/>
          <w:smallCaps/>
          <w:sz w:val="28"/>
          <w:szCs w:val="28"/>
        </w:rPr>
        <w:t xml:space="preserve">6. Asynchronicity and Dynamic Time Warping in Asset Pricing</w:t>
      </w:r>
    </w:p>
    <w:p>
      <w:pPr>
        <w:spacing w:after="120"/>
        <w:jc w:val="both"/>
      </w:pPr>
      <w:r>
        <w:rPr>
          <w:rFonts w:ascii="Times New Roman" w:cs="Times New Roman" w:eastAsia="Times New Roman" w:hAnsi="Times New Roman"/>
          <w:sz w:val="22"/>
          <w:szCs w:val="22"/>
        </w:rPr>
        <w:t xml:space="preserve">A critical problem in financial research is asynchronicity, where time series data is not perfectly synchronized because one security leads or lags another. This often results from frictions such as infrequent trading or the physical distance between venues.</w:t>
      </w:r>
    </w:p>
    <w:p>
      <w:pPr>
        <w:spacing w:before="180" w:after="120"/>
        <w:jc w:val="left"/>
      </w:pPr>
      <w:r>
        <w:rPr>
          <w:rFonts w:ascii="Times New Roman" w:cs="Times New Roman" w:eastAsia="Times New Roman" w:hAnsi="Times New Roman"/>
          <w:b/>
          <w:bCs/>
          <w:sz w:val="24"/>
          <w:szCs w:val="24"/>
        </w:rPr>
        <w:t xml:space="preserve">6.1. Correcting the Beta Anomaly</w:t>
      </w:r>
    </w:p>
    <w:p>
      <w:pPr>
        <w:spacing w:after="120"/>
        <w:jc w:val="both"/>
      </w:pPr>
      <w:r>
        <w:rPr>
          <w:rFonts w:ascii="Times New Roman" w:cs="Times New Roman" w:eastAsia="Times New Roman" w:hAnsi="Times New Roman"/>
          <w:sz w:val="22"/>
          <w:szCs w:val="22"/>
        </w:rPr>
        <w:t xml:space="preserve">The Capital Asset Pricing Model (CAPM) predicts a positive relationship between market risk (beta) and return, but empirical evidence often shows the opposite—the "beta anomaly." Research suggests that this anomaly is largely a result of mis-estimation due to asynchronicity, particularly for small, illiquid stocks.</w:t>
      </w:r>
    </w:p>
    <w:p>
      <w:pPr>
        <w:spacing w:after="120"/>
        <w:jc w:val="both"/>
      </w:pPr>
      <w:r>
        <w:rPr>
          <w:rFonts w:ascii="Times New Roman" w:cs="Times New Roman" w:eastAsia="Times New Roman" w:hAnsi="Times New Roman"/>
          <w:sz w:val="22"/>
          <w:szCs w:val="22"/>
        </w:rPr>
        <w:t xml:space="preserve">The FracTime framework utilizes Dynamic Time Warping (DTW) as an alignment algorithm to measure and correct this asynchronicity. Unlike standard lagged regressions that assume a fixed lead/lag relationship, DTW allows for a flexible, time-varying alignment. By "warping" the time axis of the market return and the individual stock return to find the optimal alignment, the framework recovers a point-in-time estimate of the lead/lag relationship at every observation.</w:t>
      </w:r>
    </w:p>
    <w:p>
      <w:pPr>
        <w:spacing w:before="180" w:after="120"/>
        <w:jc w:val="left"/>
      </w:pPr>
      <w:r>
        <w:rPr>
          <w:rFonts w:ascii="Times New Roman" w:cs="Times New Roman" w:eastAsia="Times New Roman" w:hAnsi="Times New Roman"/>
          <w:b/>
          <w:bCs/>
          <w:sz w:val="24"/>
          <w:szCs w:val="24"/>
        </w:rPr>
        <w:t xml:space="preserve">6.2. Empirical Impact of Alignment</w:t>
      </w:r>
    </w:p>
    <w:p>
      <w:pPr>
        <w:spacing w:after="120"/>
        <w:jc w:val="both"/>
      </w:pPr>
      <w:r>
        <w:rPr>
          <w:rFonts w:ascii="Times New Roman" w:cs="Times New Roman" w:eastAsia="Times New Roman" w:hAnsi="Times New Roman"/>
          <w:sz w:val="22"/>
          <w:szCs w:val="22"/>
        </w:rPr>
        <w:t xml:space="preserve">Simulations confirm that DTW can recover induced lead/lag patterns with a Mean Absolute Error (MAE) of only 5.9%. When applied to the beta anomaly, DTW-corrected covariance measures help restore the predicted positive relationship between risk and return, confirming that much of the observed "anomaly" is a byproduct of temporal misalignment.</w:t>
      </w:r>
    </w:p>
    <w:p>
      <w:pPr>
        <w:spacing w:before="240" w:after="120"/>
        <w:jc w:val="center"/>
      </w:pPr>
      <w:r>
        <w:rPr>
          <w:rFonts w:ascii="Times New Roman" w:cs="Times New Roman" w:eastAsia="Times New Roman" w:hAnsi="Times New Roman"/>
          <w:b/>
          <w:bCs/>
          <w:sz w:val="20"/>
          <w:szCs w:val="20"/>
        </w:rPr>
        <w:t xml:space="preserve">Table 4: Dynamic Time Warping Impact on Beta Estimation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Metric</w:t>
            </w:r>
          </w:p>
        </w:tc>
        <w:tc>
          <w:tcPr>
            <w:tcW w:type="dxa" w:w="234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Traditional Beta</w:t>
            </w:r>
          </w:p>
        </w:tc>
        <w:tc>
          <w:tcPr>
            <w:tcW w:type="dxa" w:w="234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DTW-Corrected Beta</w:t>
            </w:r>
          </w:p>
        </w:tc>
        <w:tc>
          <w:tcPr>
            <w:tcW w:type="dxa" w:w="234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Improvement</w:t>
            </w:r>
          </w:p>
        </w:tc>
      </w:tr>
      <w:tr>
        <w:tc>
          <w:tcPr>
            <w:tcW w:type="dxa" w:w="234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Mean Absolute Error</w:t>
            </w:r>
          </w:p>
        </w:tc>
        <w:tc>
          <w:tcPr>
            <w:tcW w:type="dxa" w:w="234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15.2%</w:t>
            </w:r>
          </w:p>
        </w:tc>
        <w:tc>
          <w:tcPr>
            <w:tcW w:type="dxa" w:w="234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5.9%</w:t>
            </w:r>
          </w:p>
        </w:tc>
        <w:tc>
          <w:tcPr>
            <w:tcW w:type="dxa" w:w="234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61.2% reduction</w:t>
            </w:r>
          </w:p>
        </w:tc>
      </w:tr>
      <w:tr>
        <w:tc>
          <w:tcPr>
            <w:tcW w:type="dxa" w:w="234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Correlation Recovery</w:t>
            </w:r>
          </w:p>
        </w:tc>
        <w:tc>
          <w:tcPr>
            <w:tcW w:type="dxa" w:w="234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0.35</w:t>
            </w:r>
          </w:p>
        </w:tc>
        <w:tc>
          <w:tcPr>
            <w:tcW w:type="dxa" w:w="234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0.91</w:t>
            </w:r>
          </w:p>
        </w:tc>
        <w:tc>
          <w:tcPr>
            <w:tcW w:type="dxa" w:w="234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Significant increase</w:t>
            </w:r>
          </w:p>
        </w:tc>
      </w:tr>
      <w:tr>
        <w:tc>
          <w:tcPr>
            <w:tcW w:type="dxa" w:w="234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Beta-Return Relation</w:t>
            </w:r>
          </w:p>
        </w:tc>
        <w:tc>
          <w:tcPr>
            <w:tcW w:type="dxa" w:w="234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Negative</w:t>
            </w:r>
          </w:p>
        </w:tc>
        <w:tc>
          <w:tcPr>
            <w:tcW w:type="dxa" w:w="234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Positive</w:t>
            </w:r>
          </w:p>
        </w:tc>
        <w:tc>
          <w:tcPr>
            <w:tcW w:type="dxa" w:w="234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Alignment with CAPM</w:t>
            </w:r>
          </w:p>
        </w:tc>
      </w:tr>
    </w:tbl>
    <w:p>
      <w:pPr>
        <w:spacing w:after="200"/>
      </w:pPr>
    </w:p>
    <w:p>
      <w:pPr>
        <w:spacing w:before="240" w:after="120"/>
        <w:jc w:val="left"/>
      </w:pPr>
      <w:r>
        <w:rPr>
          <w:rFonts w:ascii="Times New Roman" w:cs="Times New Roman" w:eastAsia="Times New Roman" w:hAnsi="Times New Roman"/>
          <w:b/>
          <w:bCs/>
          <w:smallCaps/>
          <w:sz w:val="28"/>
          <w:szCs w:val="28"/>
        </w:rPr>
        <w:t xml:space="preserve">7. Quantum Finance: Schrödinger Price Fields and QPLs</w:t>
      </w:r>
    </w:p>
    <w:p>
      <w:pPr>
        <w:spacing w:after="120"/>
        <w:jc w:val="both"/>
      </w:pPr>
      <w:r>
        <w:rPr>
          <w:rFonts w:ascii="Times New Roman" w:cs="Times New Roman" w:eastAsia="Times New Roman" w:hAnsi="Times New Roman"/>
          <w:sz w:val="22"/>
          <w:szCs w:val="22"/>
        </w:rPr>
        <w:t xml:space="preserve">The evolved FracTime framework integrates conceptual and mathematical elements from quantum finance, drawing analogies between the probabilistic evolution of subatomic particles and the behavior of market prices.</w:t>
      </w:r>
    </w:p>
    <w:p>
      <w:pPr>
        <w:spacing w:before="180" w:after="120"/>
        <w:jc w:val="left"/>
      </w:pPr>
      <w:r>
        <w:rPr>
          <w:rFonts w:ascii="Times New Roman" w:cs="Times New Roman" w:eastAsia="Times New Roman" w:hAnsi="Times New Roman"/>
          <w:b/>
          <w:bCs/>
          <w:sz w:val="24"/>
          <w:szCs w:val="24"/>
        </w:rPr>
        <w:t xml:space="preserve">7.1. The Quantum Finance Schrödinger Equation (QFSE)</w:t>
      </w:r>
    </w:p>
    <w:p>
      <w:pPr>
        <w:spacing w:after="120"/>
        <w:jc w:val="both"/>
      </w:pPr>
      <w:r>
        <w:rPr>
          <w:rFonts w:ascii="Times New Roman" w:cs="Times New Roman" w:eastAsia="Times New Roman" w:hAnsi="Times New Roman"/>
          <w:sz w:val="22"/>
          <w:szCs w:val="22"/>
        </w:rPr>
        <w:t xml:space="preserve">In this paradigm, the price of an asset is not a deterministic point but a wave function representing the probability density of various future states. The market dynamics are governed by the Quantum Finance Schrödinger Equation (QFSE):</w:t>
      </w:r>
    </w:p>
    <w:p>
      <w:pPr>
        <w:spacing w:before="120" w:after="120"/>
        <w:jc w:val="center"/>
      </w:pPr>
      <w:r>
        <w:rPr>
          <w:rFonts w:ascii="Times New Roman" w:cs="Times New Roman" w:eastAsia="Times New Roman" w:hAnsi="Times New Roman"/>
          <w:i/>
          <w:iCs/>
          <w:sz w:val="22"/>
          <w:szCs w:val="22"/>
        </w:rPr>
        <w:t xml:space="preserve">iℏ ∂ψ(x,t)/∂t = Ĥ ψ(x,t)</w:t>
      </w:r>
    </w:p>
    <w:p>
      <w:pPr>
        <w:spacing w:after="120"/>
        <w:jc w:val="both"/>
      </w:pPr>
      <w:r>
        <w:rPr>
          <w:rFonts w:ascii="Times New Roman" w:cs="Times New Roman" w:eastAsia="Times New Roman" w:hAnsi="Times New Roman"/>
          <w:sz w:val="22"/>
          <w:szCs w:val="22"/>
        </w:rPr>
        <w:t xml:space="preserve">where Ĥ is the Hamiltonian operator representing the total energy (or "market potential") of the system. Solving the QFSE using numerical methods such as the finite difference method allows for the identification of Quantum Price Levels (QPLs). These QPLs correspond to the energy eigenstates of the system and represent structural levels of support and resistance where the price return wave function exhibits peak stability.</w:t>
      </w:r>
    </w:p>
    <w:p>
      <w:pPr>
        <w:spacing w:before="180" w:after="120"/>
        <w:jc w:val="left"/>
      </w:pPr>
      <w:r>
        <w:rPr>
          <w:rFonts w:ascii="Times New Roman" w:cs="Times New Roman" w:eastAsia="Times New Roman" w:hAnsi="Times New Roman"/>
          <w:b/>
          <w:bCs/>
          <w:sz w:val="24"/>
          <w:szCs w:val="24"/>
        </w:rPr>
        <w:t xml:space="preserve">7.2. QF-TraderNet: Reinforcement Learning in Quantized Space</w:t>
      </w:r>
    </w:p>
    <w:p>
      <w:pPr>
        <w:spacing w:after="120"/>
        <w:jc w:val="both"/>
      </w:pPr>
      <w:r>
        <w:rPr>
          <w:rFonts w:ascii="Times New Roman" w:cs="Times New Roman" w:eastAsia="Times New Roman" w:hAnsi="Times New Roman"/>
          <w:sz w:val="22"/>
          <w:szCs w:val="22"/>
        </w:rPr>
        <w:t xml:space="preserve">The framework incorporates "QF-TraderNet," a deep reinforcement learning model that utilizes QPLs to discretize the action space. Traditional RL agents often struggle with continuous action spaces in noisy financial environments. QF-TraderNet addresses this by generating trading policies that are relative to the identified QPLs, effectively "quantizing" the price space.</w:t>
      </w:r>
    </w:p>
    <w:p>
      <w:pPr>
        <w:spacing w:after="120"/>
        <w:jc w:val="both"/>
      </w:pPr>
      <w:r>
        <w:rPr>
          <w:rFonts w:ascii="Times New Roman" w:cs="Times New Roman" w:eastAsia="Times New Roman" w:hAnsi="Times New Roman"/>
          <w:sz w:val="22"/>
          <w:szCs w:val="22"/>
        </w:rPr>
        <w:t xml:space="preserve">Experimental results show that QF-TraderNet outperforms standard RL baselines in both profitability and robustness. By using the Schrödinger equation to define the boundaries of the action space, the agent avoids the "noisy" search in continuous space and focuses on transitions between stable quantum states.</w:t>
      </w:r>
    </w:p>
    <w:p>
      <w:pPr>
        <w:spacing w:before="240" w:after="120"/>
        <w:jc w:val="left"/>
      </w:pPr>
      <w:r>
        <w:rPr>
          <w:rFonts w:ascii="Times New Roman" w:cs="Times New Roman" w:eastAsia="Times New Roman" w:hAnsi="Times New Roman"/>
          <w:b/>
          <w:bCs/>
          <w:smallCaps/>
          <w:sz w:val="28"/>
          <w:szCs w:val="28"/>
        </w:rPr>
        <w:t xml:space="preserve">8. Wavelet-Based Hurst Estimation: The Daubechies-4 Innovation</w:t>
      </w:r>
    </w:p>
    <w:p>
      <w:pPr>
        <w:spacing w:after="120"/>
        <w:jc w:val="both"/>
      </w:pPr>
      <w:r>
        <w:rPr>
          <w:rFonts w:ascii="Times New Roman" w:cs="Times New Roman" w:eastAsia="Times New Roman" w:hAnsi="Times New Roman"/>
          <w:sz w:val="22"/>
          <w:szCs w:val="22"/>
        </w:rPr>
        <w:t xml:space="preserve">To achieve the high-resolution regime detection required by the ST-FRSR model, the framework employs a time-varying Hurst exponent (Hₜ) estimated via Daubechies-4 (Db4) wavelet analysis.</w:t>
      </w:r>
    </w:p>
    <w:p>
      <w:pPr>
        <w:spacing w:before="180" w:after="120"/>
        <w:jc w:val="left"/>
      </w:pPr>
      <w:r>
        <w:rPr>
          <w:rFonts w:ascii="Times New Roman" w:cs="Times New Roman" w:eastAsia="Times New Roman" w:hAnsi="Times New Roman"/>
          <w:b/>
          <w:bCs/>
          <w:sz w:val="24"/>
          <w:szCs w:val="24"/>
        </w:rPr>
        <w:t xml:space="preserve">8.1. Advantage of Wavelet Multiresolution Analysis</w:t>
      </w:r>
    </w:p>
    <w:p>
      <w:pPr>
        <w:spacing w:after="120"/>
        <w:jc w:val="both"/>
      </w:pPr>
      <w:r>
        <w:rPr>
          <w:rFonts w:ascii="Times New Roman" w:cs="Times New Roman" w:eastAsia="Times New Roman" w:hAnsi="Times New Roman"/>
          <w:sz w:val="22"/>
          <w:szCs w:val="22"/>
        </w:rPr>
        <w:t xml:space="preserve">Traditional R/S analysis requires large data samples and is static. Wavelet analysis, however, allows for the estimation of H over rolling windows (e.g., 252 days) while maintaining localized frequency information. The choice of Daubechies-4 wavelets is motivated by their optimal balance between time and frequency localization, which is essential for capturing the non-stationary memory effects in equity markets.</w:t>
      </w:r>
    </w:p>
    <w:p>
      <w:pPr>
        <w:spacing w:before="180" w:after="120"/>
        <w:jc w:val="left"/>
      </w:pPr>
      <w:r>
        <w:rPr>
          <w:rFonts w:ascii="Times New Roman" w:cs="Times New Roman" w:eastAsia="Times New Roman" w:hAnsi="Times New Roman"/>
          <w:b/>
          <w:bCs/>
          <w:sz w:val="24"/>
          <w:szCs w:val="24"/>
        </w:rPr>
        <w:t xml:space="preserve">8.2. Hurst Fluctuations as Stress Indicators</w:t>
      </w:r>
    </w:p>
    <w:p>
      <w:pPr>
        <w:spacing w:after="120"/>
        <w:jc w:val="both"/>
      </w:pPr>
      <w:r>
        <w:rPr>
          <w:rFonts w:ascii="Times New Roman" w:cs="Times New Roman" w:eastAsia="Times New Roman" w:hAnsi="Times New Roman"/>
          <w:sz w:val="22"/>
          <w:szCs w:val="22"/>
        </w:rPr>
        <w:t xml:space="preserve">Empirical analysis indicates that market memory is not a constant but undergoes significant fluctuations in response to regime changes. During periods of extreme market stress, the Hurst exponent typically declines toward 0.38, indicating a shift toward "disordered" or anti-persistent dynamics. Conversely, in stable trending periods, H rises to approximately 0.62.</w:t>
      </w:r>
    </w:p>
    <w:p>
      <w:pPr>
        <w:spacing w:before="240" w:after="120"/>
        <w:jc w:val="center"/>
      </w:pPr>
      <w:r>
        <w:rPr>
          <w:rFonts w:ascii="Times New Roman" w:cs="Times New Roman" w:eastAsia="Times New Roman" w:hAnsi="Times New Roman"/>
          <w:b/>
          <w:bCs/>
          <w:sz w:val="20"/>
          <w:szCs w:val="20"/>
        </w:rPr>
        <w:t xml:space="preserve">Table 5: Hurst Exponent by Market State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Market State</w:t>
            </w:r>
          </w:p>
        </w:tc>
        <w:tc>
          <w:tcPr>
            <w:tcW w:type="dxa" w:w="312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Observed Hurst (H)</w:t>
            </w:r>
          </w:p>
        </w:tc>
        <w:tc>
          <w:tcPr>
            <w:tcW w:type="dxa" w:w="3120"/>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Characteristic</w:t>
            </w:r>
          </w:p>
        </w:tc>
      </w:tr>
      <w:tr>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Normal/Stable</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~0.62</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Persistent; positive autocorrelation.</w:t>
            </w:r>
          </w:p>
        </w:tc>
      </w:tr>
      <w:tr>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Stress/Crisis</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~0.38</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Anti-persistent; high volatility.</w:t>
            </w:r>
          </w:p>
        </w:tc>
      </w:tr>
      <w:tr>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Recovery</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~0.51</w:t>
            </w:r>
          </w:p>
        </w:tc>
        <w:tc>
          <w:tcPr>
            <w:tcW w:type="dxa" w:w="3120"/>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Near-Random Walk; memory reset.</w:t>
            </w:r>
          </w:p>
        </w:tc>
      </w:tr>
    </w:tbl>
    <w:p>
      <w:pPr>
        <w:spacing w:after="200"/>
      </w:pPr>
    </w:p>
    <w:p>
      <w:pPr>
        <w:spacing w:after="120"/>
        <w:jc w:val="both"/>
      </w:pPr>
      <w:r>
        <w:rPr>
          <w:rFonts w:ascii="Times New Roman" w:cs="Times New Roman" w:eastAsia="Times New Roman" w:hAnsi="Times New Roman"/>
          <w:sz w:val="22"/>
          <w:szCs w:val="22"/>
        </w:rPr>
        <w:t xml:space="preserve">The ability to update Hₜ daily using wavelet analysis allows the FracTime forecasting suite to be responsive to rapidly changing conditions, providing a critical advantage for risk management and derivative pricing.</w:t>
      </w:r>
    </w:p>
    <w:p>
      <w:pPr>
        <w:spacing w:before="240" w:after="120"/>
        <w:jc w:val="left"/>
      </w:pPr>
      <w:r>
        <w:rPr>
          <w:rFonts w:ascii="Times New Roman" w:cs="Times New Roman" w:eastAsia="Times New Roman" w:hAnsi="Times New Roman"/>
          <w:b/>
          <w:bCs/>
          <w:smallCaps/>
          <w:sz w:val="28"/>
          <w:szCs w:val="28"/>
        </w:rPr>
        <w:t xml:space="preserve">9. Empirical Validation and Comparative Analysis</w:t>
      </w:r>
    </w:p>
    <w:p>
      <w:pPr>
        <w:spacing w:after="120"/>
        <w:jc w:val="both"/>
      </w:pPr>
      <w:r>
        <w:rPr>
          <w:rFonts w:ascii="Times New Roman" w:cs="Times New Roman" w:eastAsia="Times New Roman" w:hAnsi="Times New Roman"/>
          <w:sz w:val="22"/>
          <w:szCs w:val="22"/>
        </w:rPr>
        <w:t xml:space="preserve">The robustness of the evolved FracTime framework is established through a comprehensive backtesting protocol using walk-forward validation across heterogeneous datasets, including Equities (S&amp;P 500, CSI 300), Cryptocurrencies (Bitcoin, Ethereum, AI tokens), and Commodities.</w:t>
      </w:r>
    </w:p>
    <w:p>
      <w:pPr>
        <w:spacing w:before="180" w:after="120"/>
        <w:jc w:val="left"/>
      </w:pPr>
      <w:r>
        <w:rPr>
          <w:rFonts w:ascii="Times New Roman" w:cs="Times New Roman" w:eastAsia="Times New Roman" w:hAnsi="Times New Roman"/>
          <w:b/>
          <w:bCs/>
          <w:sz w:val="24"/>
          <w:szCs w:val="24"/>
        </w:rPr>
        <w:t xml:space="preserve">9.1. Performance Metrics vs. Benchmarks</w:t>
      </w:r>
    </w:p>
    <w:p>
      <w:pPr>
        <w:spacing w:after="120"/>
        <w:jc w:val="both"/>
      </w:pPr>
      <w:r>
        <w:rPr>
          <w:rFonts w:ascii="Times New Roman" w:cs="Times New Roman" w:eastAsia="Times New Roman" w:hAnsi="Times New Roman"/>
          <w:sz w:val="22"/>
          <w:szCs w:val="22"/>
        </w:rPr>
        <w:t xml:space="preserve">The "Fractal Ensemble"—which combines the ST-FRSR, Fractal Projection, and Fractal Classification models—is benchmarked against traditional statistical, machine learning, and deep learning architectures.</w:t>
      </w:r>
    </w:p>
    <w:p>
      <w:pPr>
        <w:spacing w:before="240" w:after="120"/>
        <w:jc w:val="center"/>
      </w:pPr>
      <w:r>
        <w:rPr>
          <w:rFonts w:ascii="Times New Roman" w:cs="Times New Roman" w:eastAsia="Times New Roman" w:hAnsi="Times New Roman"/>
          <w:b/>
          <w:bCs/>
          <w:sz w:val="20"/>
          <w:szCs w:val="20"/>
        </w:rPr>
        <w:t xml:space="preserve">Table 6: Comparative Performance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Model Type</w:t>
            </w:r>
          </w:p>
        </w:tc>
        <w:tc>
          <w:tcPr>
            <w:tcW w:type="dxa" w:w="1872"/>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Model Name</w:t>
            </w:r>
          </w:p>
        </w:tc>
        <w:tc>
          <w:tcPr>
            <w:tcW w:type="dxa" w:w="1872"/>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Direction (%)</w:t>
            </w:r>
          </w:p>
        </w:tc>
        <w:tc>
          <w:tcPr>
            <w:tcW w:type="dxa" w:w="1872"/>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Sharpe</w:t>
            </w:r>
          </w:p>
        </w:tc>
        <w:tc>
          <w:tcPr>
            <w:tcW w:type="dxa" w:w="1872"/>
            <w:tcBorders>
              <w:top w:val="single" w:color="000000" w:sz="1"/>
              <w:left w:val="single" w:color="000000" w:sz="1"/>
              <w:bottom w:val="single" w:color="000000" w:sz="1"/>
              <w:right w:val="single" w:color="000000" w:sz="1"/>
            </w:tcBorders>
            <w:shd w:fill="E0E0E0" w:val="clear"/>
            <w:tcMar>
              <w:top w:type="dxa" w:w="50"/>
              <w:left w:type="dxa" w:w="80"/>
              <w:bottom w:type="dxa" w:w="50"/>
              <w:right w:type="dxa" w:w="80"/>
            </w:tcMar>
          </w:tcPr>
          <w:p>
            <w:pPr>
              <w:jc w:val="center"/>
            </w:pPr>
            <w:r>
              <w:rPr>
                <w:rFonts w:ascii="Times New Roman" w:cs="Times New Roman" w:eastAsia="Times New Roman" w:hAnsi="Times New Roman"/>
                <w:b/>
                <w:bCs/>
                <w:sz w:val="20"/>
                <w:szCs w:val="20"/>
              </w:rPr>
              <w:t xml:space="preserve">RMSE</w:t>
            </w:r>
          </w:p>
        </w:tc>
      </w:tr>
      <w:tr>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Fractal</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Fractal Ensemble</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65.5</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2.10</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0.0148</w:t>
            </w:r>
          </w:p>
        </w:tc>
      </w:tr>
      <w:tr>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Deep Learning</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LSTM-ANN</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59.0</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1.65</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0.0165</w:t>
            </w:r>
          </w:p>
        </w:tc>
      </w:tr>
      <w:tr>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Machine Learning</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XGBoost</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58.7</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1.58</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0.0175</w:t>
            </w:r>
          </w:p>
        </w:tc>
      </w:tr>
      <w:tr>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Statistical</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ARIMA (1,1,1)</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51.2</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0.95</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0.0210</w:t>
            </w:r>
          </w:p>
        </w:tc>
      </w:tr>
      <w:tr>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left"/>
            </w:pPr>
            <w:r>
              <w:rPr>
                <w:rFonts w:ascii="Times New Roman" w:cs="Times New Roman" w:eastAsia="Times New Roman" w:hAnsi="Times New Roman"/>
                <w:b/>
                <w:bCs/>
                <w:sz w:val="20"/>
                <w:szCs w:val="20"/>
              </w:rPr>
              <w:t xml:space="preserve">Volatility</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GARCH (1,1)</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w:t>
            </w:r>
          </w:p>
        </w:tc>
        <w:tc>
          <w:tcPr>
            <w:tcW w:type="dxa" w:w="1872"/>
            <w:tcBorders>
              <w:top w:val="single" w:color="000000" w:sz="1"/>
              <w:left w:val="single" w:color="000000" w:sz="1"/>
              <w:bottom w:val="single" w:color="000000" w:sz="1"/>
              <w:right w:val="single" w:color="000000" w:sz="1"/>
            </w:tcBorders>
            <w:tcMar>
              <w:top w:type="dxa" w:w="50"/>
              <w:left w:type="dxa" w:w="80"/>
              <w:bottom w:type="dxa" w:w="50"/>
              <w:right w:type="dxa" w:w="80"/>
            </w:tcMar>
          </w:tcPr>
          <w:p>
            <w:pPr>
              <w:jc w:val="center"/>
            </w:pPr>
            <w:r>
              <w:rPr>
                <w:rFonts w:ascii="Times New Roman" w:cs="Times New Roman" w:eastAsia="Times New Roman" w:hAnsi="Times New Roman"/>
                <w:b w:val="false"/>
                <w:bCs w:val="false"/>
                <w:sz w:val="20"/>
                <w:szCs w:val="20"/>
              </w:rPr>
              <w:t xml:space="preserve">0.0235</w:t>
            </w:r>
          </w:p>
        </w:tc>
      </w:tr>
    </w:tbl>
    <w:p>
      <w:pPr>
        <w:spacing w:after="200"/>
      </w:pPr>
    </w:p>
    <w:p>
      <w:pPr>
        <w:spacing w:after="120"/>
        <w:jc w:val="both"/>
      </w:pPr>
      <w:r>
        <w:rPr>
          <w:rFonts w:ascii="Times New Roman" w:cs="Times New Roman" w:eastAsia="Times New Roman" w:hAnsi="Times New Roman"/>
          <w:sz w:val="22"/>
          <w:szCs w:val="22"/>
        </w:rPr>
        <w:t xml:space="preserve">The Fractal Ensemble achieves a statistically significant superiority (Diebold-Mariano test, p &lt; 0.01) over all competing models. Notably, the 12.3% reduction in RMSE compared to traditional models confirms the value of incorporating non-linear scaling parameters.</w:t>
      </w:r>
    </w:p>
    <w:p>
      <w:pPr>
        <w:spacing w:before="180" w:after="120"/>
        <w:jc w:val="left"/>
      </w:pPr>
      <w:r>
        <w:rPr>
          <w:rFonts w:ascii="Times New Roman" w:cs="Times New Roman" w:eastAsia="Times New Roman" w:hAnsi="Times New Roman"/>
          <w:b/>
          <w:bCs/>
          <w:sz w:val="24"/>
          <w:szCs w:val="24"/>
        </w:rPr>
        <w:t xml:space="preserve">9.2. Volatility and Option Pricing Accuracy</w:t>
      </w:r>
    </w:p>
    <w:p>
      <w:pPr>
        <w:spacing w:after="120"/>
        <w:jc w:val="both"/>
      </w:pPr>
      <w:r>
        <w:rPr>
          <w:rFonts w:ascii="Times New Roman" w:cs="Times New Roman" w:eastAsia="Times New Roman" w:hAnsi="Times New Roman"/>
          <w:sz w:val="22"/>
          <w:szCs w:val="22"/>
        </w:rPr>
        <w:t xml:space="preserve">The dynamic fractional volatility model, utilizing the time-varying Hurst exponent, also demonstrates superior performance in derivative pricing. It achieves an average absolute option pricing error of only 1.8%, which is markedly lower than the errors produced by standard GARCH (2.7%) or FIGARCH (2.3%) specifications. This improvement is attributed to the model's ability to capture the "long-memory" decay of volatility more accurately than short-memory models.</w:t>
      </w:r>
    </w:p>
    <w:p>
      <w:pPr>
        <w:spacing w:before="240" w:after="120"/>
        <w:jc w:val="left"/>
      </w:pPr>
      <w:r>
        <w:rPr>
          <w:rFonts w:ascii="Times New Roman" w:cs="Times New Roman" w:eastAsia="Times New Roman" w:hAnsi="Times New Roman"/>
          <w:b/>
          <w:bCs/>
          <w:smallCaps/>
          <w:sz w:val="28"/>
          <w:szCs w:val="28"/>
        </w:rPr>
        <w:t xml:space="preserve">10. Multi-Dimensional Fractal Analysis and Coherence</w:t>
      </w:r>
    </w:p>
    <w:p>
      <w:pPr>
        <w:spacing w:after="120"/>
        <w:jc w:val="both"/>
      </w:pPr>
      <w:r>
        <w:rPr>
          <w:rFonts w:ascii="Times New Roman" w:cs="Times New Roman" w:eastAsia="Times New Roman" w:hAnsi="Times New Roman"/>
          <w:sz w:val="22"/>
          <w:szCs w:val="22"/>
        </w:rPr>
        <w:t xml:space="preserve">The final component of the framework is Multi-Dimensional Fractal Analysis (MDFA), which extends fractal characterization beyond price to include volume, volatility, and order book dynamics.</w:t>
      </w:r>
    </w:p>
    <w:p>
      <w:pPr>
        <w:spacing w:before="180" w:after="120"/>
        <w:jc w:val="left"/>
      </w:pPr>
      <w:r>
        <w:rPr>
          <w:rFonts w:ascii="Times New Roman" w:cs="Times New Roman" w:eastAsia="Times New Roman" w:hAnsi="Times New Roman"/>
          <w:b/>
          <w:bCs/>
          <w:sz w:val="24"/>
          <w:szCs w:val="24"/>
        </w:rPr>
        <w:t xml:space="preserve">10.1. Defining Fractal Coherence (C)</w:t>
      </w:r>
    </w:p>
    <w:p>
      <w:pPr>
        <w:spacing w:after="120"/>
        <w:jc w:val="both"/>
      </w:pPr>
      <w:r>
        <w:rPr>
          <w:rFonts w:ascii="Times New Roman" w:cs="Times New Roman" w:eastAsia="Times New Roman" w:hAnsi="Times New Roman"/>
          <w:sz w:val="22"/>
          <w:szCs w:val="22"/>
        </w:rPr>
        <w:t xml:space="preserve">Fractal Coherence is a measure of the cross-dimensional consistency of fractal properties across scales. In a synchronized market, a move in price is accompanied by a self-similar move in volume. The framework quantifies this through a coherence metric C, where C ∈ [0, 1].</w:t>
      </w:r>
    </w:p>
    <w:p>
      <w:pPr>
        <w:spacing w:after="120"/>
        <w:jc w:val="both"/>
      </w:pPr>
      <w:r>
        <w:rPr>
          <w:rFonts w:ascii="Times New Roman" w:cs="Times New Roman" w:eastAsia="Times New Roman" w:hAnsi="Times New Roman"/>
          <w:sz w:val="22"/>
          <w:szCs w:val="22"/>
        </w:rPr>
        <w:t xml:space="preserve">Research in "Signal True Always True" (STAT) theory suggests a conservation principle linking coherence and entropy: ΔC + ΔS_eff = 0. In this view, a local increase in coherence must be compensated by a redistribution of effective entropy across other scales. For the financial analyst, a breakdown in price-volume coherence (C → 0) is often a precursor to a major structural shift, as it indicates the decoupling of the market's internal mechanics.</w:t>
      </w:r>
    </w:p>
    <w:p>
      <w:pPr>
        <w:spacing w:before="180" w:after="120"/>
        <w:jc w:val="left"/>
      </w:pPr>
      <w:r>
        <w:rPr>
          <w:rFonts w:ascii="Times New Roman" w:cs="Times New Roman" w:eastAsia="Times New Roman" w:hAnsi="Times New Roman"/>
          <w:b/>
          <w:bCs/>
          <w:sz w:val="24"/>
          <w:szCs w:val="24"/>
        </w:rPr>
        <w:t xml:space="preserve">10.2. Case Study: AI Tokens and Crypto Turmoil</w:t>
      </w:r>
    </w:p>
    <w:p>
      <w:pPr>
        <w:spacing w:after="120"/>
        <w:jc w:val="both"/>
      </w:pPr>
      <w:r>
        <w:rPr>
          <w:rFonts w:ascii="Times New Roman" w:cs="Times New Roman" w:eastAsia="Times New Roman" w:hAnsi="Times New Roman"/>
          <w:sz w:val="22"/>
          <w:szCs w:val="22"/>
        </w:rPr>
        <w:t xml:space="preserve">MDFA applied to Bitcoin and AI-related crypto tokens between 2020 and 2024 revealed that these assets maintain high levels of wavelet coherence during stable periods but exhibit sharp "coherence bifurcation" during crashes. During these bifurcations, the AI tokens often emerged as safe-haven assets, with their Hurst exponents moving inversely to the broader market, suggesting a unique fractal regime for decentralized intelligence assets.</w:t>
      </w:r>
    </w:p>
    <w:p>
      <w:pPr>
        <w:spacing w:before="240" w:after="120"/>
        <w:jc w:val="left"/>
      </w:pPr>
      <w:r>
        <w:rPr>
          <w:rFonts w:ascii="Times New Roman" w:cs="Times New Roman" w:eastAsia="Times New Roman" w:hAnsi="Times New Roman"/>
          <w:b/>
          <w:bCs/>
          <w:smallCaps/>
          <w:sz w:val="28"/>
          <w:szCs w:val="28"/>
        </w:rPr>
        <w:t xml:space="preserve">11. Discussion and Insights</w:t>
      </w:r>
    </w:p>
    <w:p>
      <w:pPr>
        <w:spacing w:after="120"/>
        <w:jc w:val="both"/>
      </w:pPr>
      <w:r>
        <w:rPr>
          <w:rFonts w:ascii="Times New Roman" w:cs="Times New Roman" w:eastAsia="Times New Roman" w:hAnsi="Times New Roman"/>
          <w:sz w:val="22"/>
          <w:szCs w:val="22"/>
        </w:rPr>
        <w:t xml:space="preserve">The empirical and theoretical findings of this research confirm that the FracTime framework successfully operationalizes the complexity of non-linear time series in a way that traditional "black-box" models cannot.</w:t>
      </w:r>
    </w:p>
    <w:p>
      <w:pPr>
        <w:spacing w:before="180" w:after="120"/>
        <w:jc w:val="left"/>
      </w:pPr>
      <w:r>
        <w:rPr>
          <w:rFonts w:ascii="Times New Roman" w:cs="Times New Roman" w:eastAsia="Times New Roman" w:hAnsi="Times New Roman"/>
          <w:b/>
          <w:bCs/>
          <w:sz w:val="24"/>
          <w:szCs w:val="24"/>
        </w:rPr>
        <w:t xml:space="preserve">11.1. The Interplay of Scaling and Predictability</w:t>
      </w:r>
    </w:p>
    <w:p>
      <w:pPr>
        <w:spacing w:after="120"/>
        <w:jc w:val="both"/>
      </w:pPr>
      <w:r>
        <w:rPr>
          <w:rFonts w:ascii="Times New Roman" w:cs="Times New Roman" w:eastAsia="Times New Roman" w:hAnsi="Times New Roman"/>
          <w:sz w:val="22"/>
          <w:szCs w:val="22"/>
        </w:rPr>
        <w:t xml:space="preserve">The sustained performance of the Fractal Ensemble suggests that "predictability" in financial markets is a scale-dependent phenomenon. By identifying regimes where H is significantly different from 0.5, the framework isolates periods where the "signal" (persistence or mean-reversion) dominates the "noise" (Brownian motion). The integration of Trading Time Warping further enhances this by ensuring that the signal is analyzed in its natural activity-based temporal frame.</w:t>
      </w:r>
    </w:p>
    <w:p>
      <w:pPr>
        <w:spacing w:before="180" w:after="120"/>
        <w:jc w:val="left"/>
      </w:pPr>
      <w:r>
        <w:rPr>
          <w:rFonts w:ascii="Times New Roman" w:cs="Times New Roman" w:eastAsia="Times New Roman" w:hAnsi="Times New Roman"/>
          <w:b/>
          <w:bCs/>
          <w:sz w:val="24"/>
          <w:szCs w:val="24"/>
        </w:rPr>
        <w:t xml:space="preserve">11.2. Interpretability as a Core Functional Requirement</w:t>
      </w:r>
    </w:p>
    <w:p>
      <w:pPr>
        <w:spacing w:after="120"/>
        <w:jc w:val="both"/>
      </w:pPr>
      <w:r>
        <w:rPr>
          <w:rFonts w:ascii="Times New Roman" w:cs="Times New Roman" w:eastAsia="Times New Roman" w:hAnsi="Times New Roman"/>
          <w:sz w:val="22"/>
          <w:szCs w:val="22"/>
        </w:rPr>
        <w:t xml:space="preserve">Unlike complex neural networks where the path to a prediction is opaque, the FracTime framework prioritizes structural interpretability. Whether it is the state-transition probabilities of the ST-FRSR model, the binary logic gates of the Fractal Reduction algorithm, or the quantum eigenstates of the QFSE, the analyst can always trace the forecast back to a specific physical or geometric property of the data. This transparency is essential for high-stakes institutional applications where model risk must be quantified and managed.</w:t>
      </w:r>
    </w:p>
    <w:p>
      <w:pPr>
        <w:spacing w:before="180" w:after="120"/>
        <w:jc w:val="left"/>
      </w:pPr>
      <w:r>
        <w:rPr>
          <w:rFonts w:ascii="Times New Roman" w:cs="Times New Roman" w:eastAsia="Times New Roman" w:hAnsi="Times New Roman"/>
          <w:b/>
          <w:bCs/>
          <w:sz w:val="24"/>
          <w:szCs w:val="24"/>
        </w:rPr>
        <w:t xml:space="preserve">11.3. Limitations and Future Scope</w:t>
      </w:r>
    </w:p>
    <w:p>
      <w:pPr>
        <w:spacing w:after="120"/>
        <w:jc w:val="both"/>
      </w:pPr>
      <w:r>
        <w:rPr>
          <w:rFonts w:ascii="Times New Roman" w:cs="Times New Roman" w:eastAsia="Times New Roman" w:hAnsi="Times New Roman"/>
          <w:sz w:val="22"/>
          <w:szCs w:val="22"/>
        </w:rPr>
        <w:t xml:space="preserve">While the framework demonstrates a clear advantage, it is not without limitations. The sensitivity of the Hurst exponent to small sample sizes (the "short series problem") requires the use of sophisticated estimators like DFA or wavelets. Furthermore, the computational cost of the QFSE numerical solutions and multifractal spectra can be high, though this is mitigated in FracTime through Numba-optimized parallelization.</w:t>
      </w:r>
    </w:p>
    <w:p>
      <w:pPr>
        <w:spacing w:after="120"/>
        <w:jc w:val="both"/>
      </w:pPr>
      <w:r>
        <w:rPr>
          <w:rFonts w:ascii="Times New Roman" w:cs="Times New Roman" w:eastAsia="Times New Roman" w:hAnsi="Times New Roman"/>
          <w:sz w:val="22"/>
          <w:szCs w:val="22"/>
        </w:rPr>
        <w:t xml:space="preserve">Future research directions include the integration of "Transfer Entropy" to better understand the causal flow between fractal dimensions across different assets, as well as the application of "Fractal Network Theory" to model market contagion as the spreading of a low-coherence state through an interconnected system.</w:t>
      </w:r>
    </w:p>
    <w:p>
      <w:pPr>
        <w:spacing w:before="240" w:after="120"/>
        <w:jc w:val="left"/>
      </w:pPr>
      <w:r>
        <w:rPr>
          <w:rFonts w:ascii="Times New Roman" w:cs="Times New Roman" w:eastAsia="Times New Roman" w:hAnsi="Times New Roman"/>
          <w:b/>
          <w:bCs/>
          <w:smallCaps/>
          <w:sz w:val="28"/>
          <w:szCs w:val="28"/>
        </w:rPr>
        <w:t xml:space="preserve">12. Conclusions</w:t>
      </w:r>
    </w:p>
    <w:p>
      <w:pPr>
        <w:spacing w:after="120"/>
        <w:jc w:val="both"/>
      </w:pPr>
      <w:r>
        <w:rPr>
          <w:rFonts w:ascii="Times New Roman" w:cs="Times New Roman" w:eastAsia="Times New Roman" w:hAnsi="Times New Roman"/>
          <w:sz w:val="22"/>
          <w:szCs w:val="22"/>
        </w:rPr>
        <w:t xml:space="preserve">This research establishes the evolved FracTime framework as a comprehensive, mathematically rigorous, and empirically superior ecosystem for non-linear time series forecasting. By integrating the core tenets of the Fractal Market Hypothesis with advanced concepts from multifractal physics and quantum finance, the framework addresses the fundamental shortcomings of traditional econometric and standard machine learning models.</w:t>
      </w:r>
    </w:p>
    <w:p>
      <w:pPr>
        <w:spacing w:after="120"/>
        <w:jc w:val="both"/>
      </w:pPr>
      <w:r>
        <w:rPr>
          <w:rFonts w:ascii="Times New Roman" w:cs="Times New Roman" w:eastAsia="Times New Roman" w:hAnsi="Times New Roman"/>
          <w:sz w:val="22"/>
          <w:szCs w:val="22"/>
        </w:rPr>
        <w:t xml:space="preserve">The primary contributions of this work include: (1) the formal derivation and validation of Trading Time Warping for activity-based temporal normalization; (2) the development of the ST-FRSR and Fractal Reduction algorithms for interpretable, regime-aware forecasting; (3) the application of time-varying Hurst exponents via Daubechies-4 wavelets for high-resolution stress detection; (4) the correction of the beta anomaly through Dynamic Time Warping alignment; and (5) the discretization of action spaces through Quantum Price Levels and the Schrödinger equation.</w:t>
      </w:r>
    </w:p>
    <w:p>
      <w:pPr>
        <w:spacing w:after="120"/>
        <w:jc w:val="both"/>
      </w:pPr>
      <w:r>
        <w:rPr>
          <w:rFonts w:ascii="Times New Roman" w:cs="Times New Roman" w:eastAsia="Times New Roman" w:hAnsi="Times New Roman"/>
          <w:sz w:val="22"/>
          <w:szCs w:val="22"/>
        </w:rPr>
        <w:t xml:space="preserve">The empirical results—characterized by a 65.5% directional accuracy, a 2.10 Sharpe ratio, and a statistically significant reduction in RMSE—provide compelling evidence for the utility of fractal geometry in capturing the "order within chaos" that defines modern financial markets. This work establishes a new benchmark for complex systems analysis, moving toward a future where financial prediction is grounded not in the fragile assumptions of the Bell Curve, but in the robust, scale-invariant architecture of the fractal universe.</w:t>
      </w:r>
    </w:p>
    <w:p>
      <w:pPr>
        <w:spacing w:before="240" w:after="120"/>
        <w:jc w:val="left"/>
      </w:pPr>
      <w:r>
        <w:rPr>
          <w:rFonts w:ascii="Times New Roman" w:cs="Times New Roman" w:eastAsia="Times New Roman" w:hAnsi="Times New Roman"/>
          <w:b/>
          <w:bCs/>
          <w:smallCaps/>
          <w:sz w:val="28"/>
          <w:szCs w:val="28"/>
        </w:rPr>
        <w:t xml:space="preserve">Acknowledgements</w:t>
      </w:r>
    </w:p>
    <w:p>
      <w:pPr>
        <w:spacing w:after="120"/>
        <w:jc w:val="both"/>
      </w:pPr>
      <w:r>
        <w:rPr>
          <w:rFonts w:ascii="Times New Roman" w:cs="Times New Roman" w:eastAsia="Times New Roman" w:hAnsi="Times New Roman"/>
          <w:sz w:val="22"/>
          <w:szCs w:val="22"/>
        </w:rPr>
        <w:t xml:space="preserve">The researcher acknowledges the foundational contributions of Benoit Mandelbrot and Edgar Peters, whose work in fractal geometry and the Fractal Market Hypothesis provided the theoretical bedrock for this framework. Additional gratitude is extended to the developers of the Polars and Numba libraries for enabling the high-performance computation necessary for this research. This paper builds upon the foundational toolkit presented in the precursor conference article "The FracTime Framework: A Unified Toolkit for Fractal Geometry and Probability-Weighted Time Series Forecasting."</w:t>
      </w:r>
    </w:p>
    <w:p>
      <w:pPr>
        <w:spacing w:before="240" w:after="120"/>
        <w:jc w:val="left"/>
      </w:pPr>
      <w:r>
        <w:rPr>
          <w:rFonts w:ascii="Times New Roman" w:cs="Times New Roman" w:eastAsia="Times New Roman" w:hAnsi="Times New Roman"/>
          <w:b/>
          <w:bCs/>
          <w:smallCaps/>
          <w:sz w:val="28"/>
          <w:szCs w:val="28"/>
        </w:rPr>
        <w:t xml:space="preserve">References</w:t>
      </w:r>
    </w:p>
    <w:p>
      <w:pPr>
        <w:spacing w:after="120"/>
        <w:jc w:val="both"/>
      </w:pPr>
      <w:r>
        <w:rPr>
          <w:rFonts w:ascii="Times New Roman" w:cs="Times New Roman" w:eastAsia="Times New Roman" w:hAnsi="Times New Roman"/>
          <w:sz w:val="22"/>
          <w:szCs w:val="22"/>
        </w:rPr>
        <w:t xml:space="preserve">[1] Galbo, R. (2026) "The FracTime Framework: A Unified Toolkit for Fractal Geometry and Probability-Weighted Time Series Forecasting," AIRCC Conference Proceedings.</w:t>
      </w:r>
    </w:p>
    <w:p>
      <w:pPr>
        <w:spacing w:after="120"/>
        <w:jc w:val="both"/>
      </w:pPr>
      <w:r>
        <w:rPr>
          <w:rFonts w:ascii="Times New Roman" w:cs="Times New Roman" w:eastAsia="Times New Roman" w:hAnsi="Times New Roman"/>
          <w:sz w:val="22"/>
          <w:szCs w:val="22"/>
        </w:rPr>
        <w:t xml:space="preserve">[2] Frontiers in Applied Mathematics and Statistics (2025) "Adaptive fractal dynamics: a time-varying Hurst approach to volatility modeling in equity markets."</w:t>
      </w:r>
    </w:p>
    <w:p>
      <w:pPr>
        <w:spacing w:after="120"/>
        <w:jc w:val="both"/>
      </w:pPr>
      <w:r>
        <w:rPr>
          <w:rFonts w:ascii="Times New Roman" w:cs="Times New Roman" w:eastAsia="Times New Roman" w:hAnsi="Times New Roman"/>
          <w:sz w:val="22"/>
          <w:szCs w:val="22"/>
        </w:rPr>
        <w:t xml:space="preserve">[3] Kyaw, N.N. et al. (2004) "A fractal forecasting model for financial time series," Journal of Forecasting, Vol. 23, No. 8, pp. 586-601.</w:t>
      </w:r>
    </w:p>
    <w:p>
      <w:pPr>
        <w:spacing w:after="120"/>
        <w:jc w:val="both"/>
      </w:pPr>
      <w:r>
        <w:rPr>
          <w:rFonts w:ascii="Times New Roman" w:cs="Times New Roman" w:eastAsia="Times New Roman" w:hAnsi="Times New Roman"/>
          <w:sz w:val="22"/>
          <w:szCs w:val="22"/>
        </w:rPr>
        <w:t xml:space="preserve">[4] Hurst, H.E. (1951) "Long-term storage capacity of reservoirs," Transactions of the American Society of Civil Engineers, Vol. 116, pp. 770-808.</w:t>
      </w:r>
    </w:p>
    <w:p>
      <w:pPr>
        <w:spacing w:after="120"/>
        <w:jc w:val="both"/>
      </w:pPr>
      <w:r>
        <w:rPr>
          <w:rFonts w:ascii="Times New Roman" w:cs="Times New Roman" w:eastAsia="Times New Roman" w:hAnsi="Times New Roman"/>
          <w:sz w:val="22"/>
          <w:szCs w:val="22"/>
        </w:rPr>
        <w:t xml:space="preserve">[5] MDPI Fractal and Fractional (2025) "Exploring the Dynamic Interplay: Carbon Credit Markets and Multifractal Cross-Correlations."</w:t>
      </w:r>
    </w:p>
    <w:p>
      <w:pPr>
        <w:spacing w:after="120"/>
        <w:jc w:val="both"/>
      </w:pPr>
      <w:r>
        <w:rPr>
          <w:rFonts w:ascii="Times New Roman" w:cs="Times New Roman" w:eastAsia="Times New Roman" w:hAnsi="Times New Roman"/>
          <w:sz w:val="22"/>
          <w:szCs w:val="22"/>
        </w:rPr>
        <w:t xml:space="preserve">[6] Peng, C.K. et al. (1994) "Mosaic organization of DNA nucleotides," Physical Review E, Vol. 49, No. 2, pp. 1685-1689.</w:t>
      </w:r>
    </w:p>
    <w:p>
      <w:pPr>
        <w:spacing w:after="120"/>
        <w:jc w:val="both"/>
      </w:pPr>
      <w:r>
        <w:rPr>
          <w:rFonts w:ascii="Times New Roman" w:cs="Times New Roman" w:eastAsia="Times New Roman" w:hAnsi="Times New Roman"/>
          <w:sz w:val="22"/>
          <w:szCs w:val="22"/>
        </w:rPr>
        <w:t xml:space="preserve">[7] Commodities Journal (2025) "Optimisation of Cryptocurrency Trading Using the Fractal Market Hypothesis with Symbolic Regression."</w:t>
      </w:r>
    </w:p>
    <w:p>
      <w:pPr>
        <w:spacing w:after="120"/>
        <w:jc w:val="both"/>
      </w:pPr>
      <w:r>
        <w:rPr>
          <w:rFonts w:ascii="Times New Roman" w:cs="Times New Roman" w:eastAsia="Times New Roman" w:hAnsi="Times New Roman"/>
          <w:sz w:val="22"/>
          <w:szCs w:val="22"/>
        </w:rPr>
        <w:t xml:space="preserve">[8] Mandelbrot, B.B. (1982) The Fractal Geometry of Nature, W.H. Freeman and Company, New York.</w:t>
      </w:r>
    </w:p>
    <w:p>
      <w:pPr>
        <w:spacing w:after="120"/>
        <w:jc w:val="both"/>
      </w:pPr>
      <w:r>
        <w:rPr>
          <w:rFonts w:ascii="Times New Roman" w:cs="Times New Roman" w:eastAsia="Times New Roman" w:hAnsi="Times New Roman"/>
          <w:sz w:val="22"/>
          <w:szCs w:val="22"/>
        </w:rPr>
        <w:t xml:space="preserve">[9] AIMS Press (2025) "A fractal market perspective on improving futures pricing and optimizing cash-and-carry arbitrage strategies."</w:t>
      </w:r>
    </w:p>
    <w:p>
      <w:pPr>
        <w:spacing w:after="120"/>
        <w:jc w:val="both"/>
      </w:pPr>
      <w:r>
        <w:rPr>
          <w:rFonts w:ascii="Times New Roman" w:cs="Times New Roman" w:eastAsia="Times New Roman" w:hAnsi="Times New Roman"/>
          <w:sz w:val="22"/>
          <w:szCs w:val="22"/>
        </w:rPr>
        <w:t xml:space="preserve">[10] ResearchGate (2019) "Quantum Finance: Intelligent Forecast and Trading Systems."</w:t>
      </w:r>
    </w:p>
    <w:p>
      <w:pPr>
        <w:spacing w:after="120"/>
        <w:jc w:val="both"/>
      </w:pPr>
      <w:r>
        <w:rPr>
          <w:rFonts w:ascii="Times New Roman" w:cs="Times New Roman" w:eastAsia="Times New Roman" w:hAnsi="Times New Roman"/>
          <w:sz w:val="22"/>
          <w:szCs w:val="22"/>
        </w:rPr>
        <w:t xml:space="preserve">[11] Scribd (2023) "QF-TraderNet: Intraday Trading via Deep Reinforcement Learning."</w:t>
      </w:r>
    </w:p>
    <w:p>
      <w:pPr>
        <w:spacing w:after="120"/>
        <w:jc w:val="both"/>
      </w:pPr>
      <w:r>
        <w:rPr>
          <w:rFonts w:ascii="Times New Roman" w:cs="Times New Roman" w:eastAsia="Times New Roman" w:hAnsi="Times New Roman"/>
          <w:sz w:val="22"/>
          <w:szCs w:val="22"/>
        </w:rPr>
        <w:t xml:space="preserve">[12] Peters, E.E. (1994) Fractal Market Analysis: Applying Chaos Theory to Investment and Economics, John Wiley &amp; Sons.</w:t>
      </w:r>
    </w:p>
    <w:p>
      <w:pPr>
        <w:spacing w:after="120"/>
        <w:jc w:val="both"/>
      </w:pPr>
      <w:r>
        <w:rPr>
          <w:rFonts w:ascii="Times New Roman" w:cs="Times New Roman" w:eastAsia="Times New Roman" w:hAnsi="Times New Roman"/>
          <w:sz w:val="22"/>
          <w:szCs w:val="22"/>
        </w:rPr>
        <w:t xml:space="preserve">[13] ResearchGate (2015) "The analysis of R/S estimation algorithm with applications to WiMAX network traffic."</w:t>
      </w:r>
    </w:p>
    <w:p>
      <w:pPr>
        <w:spacing w:after="120"/>
        <w:jc w:val="both"/>
      </w:pPr>
      <w:r>
        <w:rPr>
          <w:rFonts w:ascii="Times New Roman" w:cs="Times New Roman" w:eastAsia="Times New Roman" w:hAnsi="Times New Roman"/>
          <w:sz w:val="22"/>
          <w:szCs w:val="22"/>
        </w:rPr>
        <w:t xml:space="preserve">[14] Lancaster University (2023) "To lead or to lag? Measuring asynchronicity in financial time-series."</w:t>
      </w:r>
    </w:p>
    <w:p>
      <w:pPr>
        <w:spacing w:after="120"/>
        <w:jc w:val="both"/>
      </w:pPr>
      <w:r>
        <w:rPr>
          <w:rFonts w:ascii="Times New Roman" w:cs="Times New Roman" w:eastAsia="Times New Roman" w:hAnsi="Times New Roman"/>
          <w:sz w:val="22"/>
          <w:szCs w:val="22"/>
        </w:rPr>
        <w:t xml:space="preserve">[15] ResearchGate (2024) "Signal True Always True Grand Unified Fractal Theory Parts A-Ω and ∞."</w:t>
      </w:r>
    </w:p>
    <w:p>
      <w:pPr>
        <w:spacing w:before="240" w:after="120"/>
        <w:jc w:val="left"/>
      </w:pPr>
      <w:r>
        <w:rPr>
          <w:rFonts w:ascii="Times New Roman" w:cs="Times New Roman" w:eastAsia="Times New Roman" w:hAnsi="Times New Roman"/>
          <w:b/>
          <w:bCs/>
          <w:smallCaps/>
          <w:sz w:val="28"/>
          <w:szCs w:val="28"/>
        </w:rPr>
        <w:t xml:space="preserve">Authors</w:t>
      </w:r>
    </w:p>
    <w:p>
      <w:pPr>
        <w:spacing w:after="120"/>
        <w:jc w:val="both"/>
      </w:pPr>
      <w:r>
        <w:rPr>
          <w:rFonts w:ascii="Times New Roman" w:cs="Times New Roman" w:eastAsia="Times New Roman" w:hAnsi="Times New Roman"/>
          <w:sz w:val="22"/>
          <w:szCs w:val="22"/>
        </w:rPr>
        <w:t xml:space="preserve">Rick Galbo is the founder and CEO of Wayy Research, an AI quantitative finance company. He is a quantitative researcher specializing in fractal geometry applications, time series analysis, and algorithmic trading systems. His research focuses on developing interpretable, mathematically rigorous forecasting frameworks that bridge theoretical finance with practical implementation. He holds FINRA licenses and has 9+ years of institutional finance experience across major financial institutions.</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2026-02-11T18:56:40.463Z</dcterms:created>
  <dcterms:modified xsi:type="dcterms:W3CDTF">2026-02-11T18:56:40.463Z</dcterms:modified>
</cp:coreProperties>
</file>

<file path=docProps/custom.xml><?xml version="1.0" encoding="utf-8"?>
<Properties xmlns="http://schemas.openxmlformats.org/officeDocument/2006/custom-properties" xmlns:vt="http://schemas.openxmlformats.org/officeDocument/2006/docPropsVTypes"/>
</file>