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BF42FC">
      <w:pPr>
        <w:ind w:firstLine="0"/>
        <w:jc w:val="center"/>
        <w:rPr>
          <w:rFonts w:hint="eastAsia"/>
        </w:rPr>
      </w:pPr>
      <w:r>
        <w:rPr>
          <w:rFonts w:hint="eastAsia"/>
        </w:rPr>
        <w:t>软件开发</w:t>
      </w:r>
    </w:p>
    <w:p w14:paraId="786D7557">
      <w:pPr>
        <w:pStyle w:val="38"/>
        <w:numPr>
          <w:ilvl w:val="0"/>
          <w:numId w:val="1"/>
        </w:numPr>
        <w:outlineLvl w:val="0"/>
      </w:pPr>
      <w:r>
        <w:rPr>
          <w:rFonts w:hint="eastAsia"/>
        </w:rPr>
        <w:t>星标项点对点应答</w:t>
      </w:r>
    </w:p>
    <w:p w14:paraId="5D8DBE3F">
      <w:pPr>
        <w:pStyle w:val="38"/>
        <w:numPr>
          <w:ilvl w:val="1"/>
          <w:numId w:val="1"/>
        </w:numPr>
        <w:outlineLvl w:val="1"/>
        <w:rPr>
          <w:rFonts w:hint="eastAsia"/>
        </w:rPr>
      </w:pPr>
      <w:bookmarkStart w:id="0" w:name="_Toc2210"/>
      <w:bookmarkStart w:id="1" w:name="_Toc28265"/>
      <w:r>
        <w:rPr>
          <w:rFonts w:hint="eastAsia"/>
        </w:rPr>
        <w:t>★采购内容</w:t>
      </w:r>
      <w:bookmarkEnd w:id="0"/>
      <w:bookmarkEnd w:id="1"/>
    </w:p>
    <w:p w14:paraId="21C85539">
      <w:pPr>
        <w:spacing w:before="0" w:after="0" w:line="240" w:lineRule="auto"/>
        <w:ind w:firstLine="300"/>
        <w:rPr>
          <w:rFonts w:hint="eastAsia" w:ascii="宋体" w:hAnsi="宋体"/>
          <w:color w:val="FF0000"/>
          <w:sz w:val="15"/>
          <w:szCs w:val="15"/>
        </w:rPr>
      </w:pPr>
      <w:r>
        <w:rPr>
          <w:rFonts w:hint="eastAsia" w:ascii="宋体" w:hAnsi="宋体"/>
          <w:sz w:val="15"/>
          <w:szCs w:val="15"/>
        </w:rPr>
        <w:t>本次采购大模型智能应用运营服务平台定制软件开发服务是充分整合贵州移动网络能力、算力能力、产品等能力、生态能力实现对外变现</w:t>
      </w:r>
      <w:r>
        <w:rPr>
          <w:rFonts w:hint="eastAsia" w:ascii="宋体" w:hAnsi="宋体" w:cs="宋体"/>
          <w:sz w:val="15"/>
          <w:szCs w:val="15"/>
        </w:rPr>
        <w:t>，涉及“</w:t>
      </w:r>
      <w:r>
        <w:rPr>
          <w:rFonts w:hint="eastAsia" w:ascii="宋体" w:hAnsi="宋体"/>
          <w:sz w:val="15"/>
          <w:szCs w:val="15"/>
        </w:rPr>
        <w:t>AI运营门户”、“产品订购及运营”、“AI能力管理”、“系统管理”、“大模型应用</w:t>
      </w:r>
      <w:r>
        <w:rPr>
          <w:rFonts w:hint="eastAsia" w:ascii="宋体" w:hAnsi="宋体" w:cs="宋体"/>
          <w:sz w:val="15"/>
          <w:szCs w:val="15"/>
        </w:rPr>
        <w:t>（包含写作</w:t>
      </w:r>
      <w:r>
        <w:rPr>
          <w:rFonts w:ascii="宋体" w:hAnsi="宋体" w:cs="宋体"/>
          <w:sz w:val="15"/>
          <w:szCs w:val="15"/>
        </w:rPr>
        <w:t>助手、</w:t>
      </w:r>
      <w:r>
        <w:rPr>
          <w:rFonts w:hint="eastAsia" w:ascii="宋体" w:hAnsi="宋体" w:cs="宋体"/>
          <w:sz w:val="15"/>
          <w:szCs w:val="15"/>
        </w:rPr>
        <w:t>问答</w:t>
      </w:r>
      <w:r>
        <w:rPr>
          <w:rFonts w:ascii="宋体" w:hAnsi="宋体" w:cs="宋体"/>
          <w:sz w:val="15"/>
          <w:szCs w:val="15"/>
        </w:rPr>
        <w:t>助手、</w:t>
      </w:r>
      <w:r>
        <w:rPr>
          <w:rFonts w:hint="eastAsia" w:ascii="宋体" w:hAnsi="宋体" w:cs="宋体"/>
          <w:sz w:val="15"/>
          <w:szCs w:val="15"/>
        </w:rPr>
        <w:t>智能问数助手</w:t>
      </w:r>
      <w:r>
        <w:rPr>
          <w:rFonts w:ascii="宋体" w:hAnsi="宋体" w:cs="宋体"/>
          <w:sz w:val="15"/>
          <w:szCs w:val="15"/>
        </w:rPr>
        <w:t>、</w:t>
      </w:r>
      <w:r>
        <w:rPr>
          <w:rFonts w:hint="eastAsia" w:ascii="宋体" w:hAnsi="宋体" w:cs="宋体"/>
          <w:sz w:val="15"/>
          <w:szCs w:val="15"/>
        </w:rPr>
        <w:t>数字人、群聊机器人5款</w:t>
      </w:r>
      <w:r>
        <w:rPr>
          <w:rFonts w:ascii="宋体" w:hAnsi="宋体" w:cs="宋体"/>
          <w:sz w:val="15"/>
          <w:szCs w:val="15"/>
        </w:rPr>
        <w:t>智能应用</w:t>
      </w:r>
      <w:r>
        <w:rPr>
          <w:rFonts w:hint="eastAsia" w:ascii="宋体" w:hAnsi="宋体" w:cs="宋体"/>
          <w:sz w:val="15"/>
          <w:szCs w:val="15"/>
        </w:rPr>
        <w:t>）</w:t>
      </w:r>
      <w:r>
        <w:rPr>
          <w:rFonts w:hint="eastAsia" w:ascii="宋体" w:hAnsi="宋体"/>
          <w:sz w:val="15"/>
          <w:szCs w:val="15"/>
        </w:rPr>
        <w:t>”等功能，涉及</w:t>
      </w:r>
      <w:r>
        <w:rPr>
          <w:rFonts w:ascii="宋体" w:hAnsi="宋体"/>
          <w:sz w:val="15"/>
          <w:szCs w:val="15"/>
        </w:rPr>
        <w:t>一级功能点</w:t>
      </w:r>
      <w:r>
        <w:rPr>
          <w:rFonts w:hint="eastAsia" w:ascii="宋体" w:hAnsi="宋体"/>
          <w:sz w:val="15"/>
          <w:szCs w:val="15"/>
        </w:rPr>
        <w:t>5</w:t>
      </w:r>
      <w:r>
        <w:rPr>
          <w:rFonts w:ascii="宋体" w:hAnsi="宋体"/>
          <w:sz w:val="15"/>
          <w:szCs w:val="15"/>
        </w:rPr>
        <w:t>个，二级功能点</w:t>
      </w:r>
      <w:r>
        <w:rPr>
          <w:rFonts w:hint="eastAsia" w:ascii="宋体" w:hAnsi="宋体"/>
          <w:sz w:val="15"/>
          <w:szCs w:val="15"/>
        </w:rPr>
        <w:t>16</w:t>
      </w:r>
      <w:r>
        <w:rPr>
          <w:rFonts w:ascii="宋体" w:hAnsi="宋体"/>
          <w:sz w:val="15"/>
          <w:szCs w:val="15"/>
        </w:rPr>
        <w:t>个，</w:t>
      </w:r>
      <w:r>
        <w:rPr>
          <w:rFonts w:hint="eastAsia" w:ascii="宋体" w:hAnsi="宋体"/>
          <w:sz w:val="15"/>
          <w:szCs w:val="15"/>
        </w:rPr>
        <w:t>三级功能点51个，</w:t>
      </w:r>
      <w:r>
        <w:rPr>
          <w:rFonts w:hint="eastAsia" w:ascii="宋体" w:hAnsi="宋体"/>
          <w:color w:val="FF0000"/>
          <w:sz w:val="15"/>
          <w:szCs w:val="15"/>
        </w:rPr>
        <w:t>以及</w:t>
      </w:r>
      <w:r>
        <w:rPr>
          <w:rFonts w:hint="eastAsia" w:ascii="宋体" w:hAnsi="宋体" w:cs="宋体"/>
          <w:color w:val="FF0000"/>
          <w:sz w:val="15"/>
          <w:szCs w:val="15"/>
        </w:rPr>
        <w:t>与云能大模型开发平台、云能智算平台等平台的接口11个。</w:t>
      </w:r>
    </w:p>
    <w:p w14:paraId="424FFB32">
      <w:pPr>
        <w:pStyle w:val="38"/>
        <w:numPr>
          <w:ilvl w:val="1"/>
          <w:numId w:val="1"/>
        </w:numPr>
        <w:outlineLvl w:val="1"/>
        <w:rPr>
          <w:rFonts w:hint="eastAsia"/>
        </w:rPr>
      </w:pPr>
      <w:bookmarkStart w:id="2" w:name="_Toc190866784"/>
      <w:bookmarkStart w:id="3" w:name="_Toc32204"/>
      <w:r>
        <w:t>★</w:t>
      </w:r>
      <w:r>
        <w:rPr>
          <w:rFonts w:hint="eastAsia"/>
        </w:rPr>
        <w:t>项目时间</w:t>
      </w:r>
      <w:bookmarkEnd w:id="2"/>
      <w:bookmarkEnd w:id="3"/>
    </w:p>
    <w:p w14:paraId="11648DD3">
      <w:pPr>
        <w:pStyle w:val="45"/>
        <w:spacing w:after="0" w:line="240" w:lineRule="auto"/>
        <w:ind w:firstLine="300"/>
        <w:rPr>
          <w:rFonts w:hint="eastAsia" w:ascii="宋体" w:hAnsi="宋体" w:cs="宋体"/>
          <w:sz w:val="15"/>
          <w:szCs w:val="15"/>
        </w:rPr>
      </w:pPr>
      <w:r>
        <w:rPr>
          <w:rFonts w:hint="eastAsia" w:ascii="宋体" w:hAnsi="宋体" w:cs="宋体"/>
          <w:sz w:val="15"/>
          <w:szCs w:val="15"/>
        </w:rPr>
        <w:t>工期要求:交付工期自合同生效之日起</w:t>
      </w:r>
      <w:r>
        <w:rPr>
          <w:rFonts w:hint="eastAsia" w:ascii="宋体" w:hAnsi="宋体" w:cs="宋体"/>
          <w:color w:val="FF0000"/>
          <w:sz w:val="15"/>
          <w:szCs w:val="15"/>
        </w:rPr>
        <w:t xml:space="preserve"> 210 天(日历天）</w:t>
      </w:r>
      <w:r>
        <w:rPr>
          <w:rFonts w:hint="eastAsia" w:ascii="宋体" w:hAnsi="宋体" w:cs="宋体"/>
          <w:sz w:val="15"/>
          <w:szCs w:val="15"/>
        </w:rPr>
        <w:t>。</w:t>
      </w:r>
    </w:p>
    <w:p w14:paraId="5F71C7A6">
      <w:pPr>
        <w:pStyle w:val="38"/>
        <w:numPr>
          <w:ilvl w:val="1"/>
          <w:numId w:val="1"/>
        </w:numPr>
        <w:outlineLvl w:val="1"/>
        <w:rPr>
          <w:rFonts w:hint="eastAsia"/>
        </w:rPr>
      </w:pPr>
      <w:bookmarkStart w:id="4" w:name="_Toc19138"/>
      <w:r>
        <w:t>★</w:t>
      </w:r>
      <w:r>
        <w:rPr>
          <w:rFonts w:hint="eastAsia"/>
        </w:rPr>
        <w:t>交付时间要求</w:t>
      </w:r>
      <w:bookmarkEnd w:id="4"/>
    </w:p>
    <w:p w14:paraId="2B050FDC">
      <w:pPr>
        <w:spacing w:before="0" w:after="0" w:line="240" w:lineRule="auto"/>
        <w:ind w:firstLine="300"/>
        <w:rPr>
          <w:rFonts w:hint="eastAsia" w:ascii="宋体" w:hAnsi="宋体"/>
          <w:sz w:val="15"/>
          <w:szCs w:val="15"/>
        </w:rPr>
      </w:pPr>
      <w:r>
        <w:rPr>
          <w:rFonts w:hint="eastAsia" w:ascii="宋体" w:hAnsi="宋体"/>
          <w:sz w:val="15"/>
          <w:szCs w:val="15"/>
        </w:rPr>
        <w:t>工期：根据项目工期安排，项目实施上线交付时间为合同生效之日起</w:t>
      </w:r>
      <w:r>
        <w:rPr>
          <w:rFonts w:hint="eastAsia" w:ascii="宋体" w:hAnsi="宋体"/>
          <w:color w:val="FF0000"/>
          <w:sz w:val="15"/>
          <w:szCs w:val="15"/>
        </w:rPr>
        <w:t>210</w:t>
      </w:r>
      <w:r>
        <w:rPr>
          <w:rFonts w:hint="eastAsia" w:ascii="宋体" w:hAnsi="宋体"/>
          <w:sz w:val="15"/>
          <w:szCs w:val="15"/>
        </w:rPr>
        <w:t>天（日历天）。</w:t>
      </w:r>
    </w:p>
    <w:p w14:paraId="7C3E3B9E">
      <w:pPr>
        <w:spacing w:before="0" w:after="0" w:line="240" w:lineRule="auto"/>
        <w:ind w:firstLine="300"/>
        <w:rPr>
          <w:rFonts w:hint="eastAsia" w:ascii="宋体" w:hAnsi="宋体"/>
          <w:bCs/>
          <w:sz w:val="15"/>
          <w:szCs w:val="15"/>
        </w:rPr>
      </w:pPr>
      <w:r>
        <w:rPr>
          <w:rFonts w:hint="eastAsia" w:ascii="宋体" w:hAnsi="宋体"/>
          <w:bCs/>
          <w:sz w:val="15"/>
          <w:szCs w:val="15"/>
        </w:rPr>
        <w:t>本项目时间进度要求：卖方中标后应具备业务上线开通条件，卖方应根据本项目环节的轻重缓急，给出分步实施上线的详细进度计划，卖方实施进度安排需按照贵州公司进度要求进行说明及细化，具体实施进度以供应商应答结果为准。</w:t>
      </w:r>
    </w:p>
    <w:p w14:paraId="7A820E49">
      <w:pPr>
        <w:spacing w:before="0" w:after="0" w:line="240" w:lineRule="auto"/>
        <w:ind w:firstLine="0"/>
        <w:jc w:val="center"/>
        <w:rPr>
          <w:rFonts w:hint="eastAsia" w:ascii="宋体" w:hAnsi="宋体"/>
          <w:bCs/>
          <w:sz w:val="15"/>
          <w:szCs w:val="15"/>
        </w:rPr>
      </w:pPr>
      <w:r>
        <w:rPr>
          <w:rFonts w:ascii="宋体" w:hAnsi="宋体"/>
          <w:bCs/>
          <w:sz w:val="15"/>
          <w:szCs w:val="15"/>
        </w:rPr>
        <w:t>表</w:t>
      </w:r>
      <w:r>
        <w:rPr>
          <w:rFonts w:hint="eastAsia" w:ascii="宋体" w:hAnsi="宋体"/>
          <w:bCs/>
          <w:sz w:val="15"/>
          <w:szCs w:val="15"/>
        </w:rPr>
        <w:t>4.2</w:t>
      </w:r>
      <w:r>
        <w:rPr>
          <w:rFonts w:ascii="宋体" w:hAnsi="宋体"/>
          <w:bCs/>
          <w:sz w:val="15"/>
          <w:szCs w:val="15"/>
        </w:rPr>
        <w:t>-1  时间进度安排要求表</w:t>
      </w:r>
    </w:p>
    <w:tbl>
      <w:tblPr>
        <w:tblStyle w:val="22"/>
        <w:tblW w:w="5000" w:type="pct"/>
        <w:tblInd w:w="0" w:type="dxa"/>
        <w:tblBorders>
          <w:top w:val="none" w:color="auto" w:sz="4" w:space="0"/>
          <w:left w:val="none" w:color="auto" w:sz="4" w:space="0"/>
          <w:bottom w:val="none" w:color="auto" w:sz="0" w:space="0"/>
          <w:right w:val="none" w:color="auto" w:sz="4" w:space="0"/>
          <w:insideH w:val="none" w:color="auto" w:sz="4" w:space="0"/>
          <w:insideV w:val="none" w:color="auto" w:sz="4" w:space="0"/>
        </w:tblBorders>
        <w:tblLayout w:type="autofit"/>
        <w:tblCellMar>
          <w:top w:w="0" w:type="dxa"/>
          <w:left w:w="108" w:type="dxa"/>
          <w:bottom w:w="0" w:type="dxa"/>
          <w:right w:w="108" w:type="dxa"/>
        </w:tblCellMar>
      </w:tblPr>
      <w:tblGrid>
        <w:gridCol w:w="804"/>
        <w:gridCol w:w="4405"/>
        <w:gridCol w:w="4993"/>
      </w:tblGrid>
      <w:tr w14:paraId="4A9558D6">
        <w:tblPrEx>
          <w:tblBorders>
            <w:top w:val="none" w:color="auto" w:sz="4" w:space="0"/>
            <w:left w:val="none" w:color="auto" w:sz="4" w:space="0"/>
            <w:bottom w:val="none" w:color="auto" w:sz="0"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415" w:hRule="atLeast"/>
          <w:tblHeader/>
        </w:trPr>
        <w:tc>
          <w:tcPr>
            <w:tcW w:w="394" w:type="pct"/>
            <w:tcBorders>
              <w:top w:val="single" w:color="auto" w:sz="4" w:space="0"/>
              <w:left w:val="single" w:color="auto" w:sz="4" w:space="0"/>
              <w:bottom w:val="single" w:color="auto" w:sz="4" w:space="0"/>
              <w:right w:val="single" w:color="auto" w:sz="4" w:space="0"/>
            </w:tcBorders>
            <w:vAlign w:val="center"/>
          </w:tcPr>
          <w:p w14:paraId="6A6B0A51">
            <w:pPr>
              <w:adjustRightInd w:val="0"/>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序号</w:t>
            </w:r>
          </w:p>
        </w:tc>
        <w:tc>
          <w:tcPr>
            <w:tcW w:w="2159" w:type="pct"/>
            <w:tcBorders>
              <w:top w:val="single" w:color="auto" w:sz="4" w:space="0"/>
              <w:left w:val="nil"/>
              <w:bottom w:val="single" w:color="auto" w:sz="4" w:space="0"/>
              <w:right w:val="single" w:color="auto" w:sz="4" w:space="0"/>
            </w:tcBorders>
            <w:vAlign w:val="center"/>
          </w:tcPr>
          <w:p w14:paraId="2777B2BF">
            <w:pPr>
              <w:adjustRightInd w:val="0"/>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实施内容</w:t>
            </w:r>
          </w:p>
        </w:tc>
        <w:tc>
          <w:tcPr>
            <w:tcW w:w="2447" w:type="pct"/>
            <w:tcBorders>
              <w:top w:val="single" w:color="auto" w:sz="4" w:space="0"/>
              <w:left w:val="nil"/>
              <w:bottom w:val="single" w:color="auto" w:sz="4" w:space="0"/>
              <w:right w:val="single" w:color="auto" w:sz="4" w:space="0"/>
            </w:tcBorders>
            <w:vAlign w:val="center"/>
          </w:tcPr>
          <w:p w14:paraId="361123C0">
            <w:pPr>
              <w:adjustRightInd w:val="0"/>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进度计划（合同签订生效之日为T）</w:t>
            </w:r>
          </w:p>
        </w:tc>
      </w:tr>
      <w:tr w14:paraId="274FFE0C">
        <w:tblPrEx>
          <w:tblBorders>
            <w:top w:val="none" w:color="auto" w:sz="4" w:space="0"/>
            <w:left w:val="none" w:color="auto" w:sz="4" w:space="0"/>
            <w:bottom w:val="none" w:color="auto" w:sz="0"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415" w:hRule="atLeast"/>
        </w:trPr>
        <w:tc>
          <w:tcPr>
            <w:tcW w:w="394" w:type="pct"/>
            <w:tcBorders>
              <w:top w:val="nil"/>
              <w:left w:val="single" w:color="auto" w:sz="4" w:space="0"/>
              <w:bottom w:val="single" w:color="auto" w:sz="4" w:space="0"/>
              <w:right w:val="single" w:color="auto" w:sz="4" w:space="0"/>
            </w:tcBorders>
            <w:vAlign w:val="center"/>
          </w:tcPr>
          <w:p w14:paraId="5E7DECA5">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1</w:t>
            </w:r>
          </w:p>
        </w:tc>
        <w:tc>
          <w:tcPr>
            <w:tcW w:w="2159" w:type="pct"/>
            <w:tcBorders>
              <w:top w:val="nil"/>
              <w:left w:val="nil"/>
              <w:bottom w:val="single" w:color="auto" w:sz="4" w:space="0"/>
              <w:right w:val="single" w:color="auto" w:sz="4" w:space="0"/>
            </w:tcBorders>
            <w:vAlign w:val="center"/>
          </w:tcPr>
          <w:p w14:paraId="1FEC6D28">
            <w:pPr>
              <w:snapToGrid w:val="0"/>
              <w:spacing w:before="0" w:after="0" w:line="240" w:lineRule="auto"/>
              <w:ind w:firstLine="0"/>
              <w:jc w:val="center"/>
              <w:rPr>
                <w:rFonts w:hint="eastAsia" w:ascii="宋体" w:hAnsi="宋体"/>
                <w:color w:val="000000" w:themeColor="text1"/>
                <w:sz w:val="15"/>
                <w:szCs w:val="15"/>
              </w:rPr>
            </w:pPr>
            <w:r>
              <w:rPr>
                <w:rFonts w:hint="eastAsia" w:ascii="宋体" w:hAnsi="宋体"/>
                <w:color w:val="000000" w:themeColor="text1"/>
                <w:sz w:val="15"/>
                <w:szCs w:val="15"/>
              </w:rPr>
              <w:t>开展需求调研</w:t>
            </w:r>
          </w:p>
        </w:tc>
        <w:tc>
          <w:tcPr>
            <w:tcW w:w="2447" w:type="pct"/>
            <w:tcBorders>
              <w:top w:val="nil"/>
              <w:left w:val="nil"/>
              <w:bottom w:val="single" w:color="auto" w:sz="4" w:space="0"/>
              <w:right w:val="single" w:color="auto" w:sz="4" w:space="0"/>
            </w:tcBorders>
            <w:vAlign w:val="center"/>
          </w:tcPr>
          <w:p w14:paraId="4C244AA2">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T+</w:t>
            </w:r>
            <w:r>
              <w:rPr>
                <w:rFonts w:hint="eastAsia" w:ascii="宋体" w:hAnsi="宋体"/>
                <w:color w:val="000000" w:themeColor="text1"/>
                <w:sz w:val="15"/>
                <w:szCs w:val="15"/>
              </w:rPr>
              <w:t>10</w:t>
            </w:r>
          </w:p>
        </w:tc>
      </w:tr>
      <w:tr w14:paraId="15678F54">
        <w:tblPrEx>
          <w:tblBorders>
            <w:top w:val="none" w:color="auto" w:sz="4" w:space="0"/>
            <w:left w:val="none" w:color="auto" w:sz="4" w:space="0"/>
            <w:bottom w:val="none" w:color="auto" w:sz="0"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415" w:hRule="atLeast"/>
        </w:trPr>
        <w:tc>
          <w:tcPr>
            <w:tcW w:w="394" w:type="pct"/>
            <w:tcBorders>
              <w:top w:val="nil"/>
              <w:left w:val="single" w:color="auto" w:sz="4" w:space="0"/>
              <w:bottom w:val="single" w:color="auto" w:sz="4" w:space="0"/>
              <w:right w:val="single" w:color="auto" w:sz="4" w:space="0"/>
            </w:tcBorders>
            <w:vAlign w:val="center"/>
          </w:tcPr>
          <w:p w14:paraId="42D1D9FE">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2</w:t>
            </w:r>
          </w:p>
        </w:tc>
        <w:tc>
          <w:tcPr>
            <w:tcW w:w="2159" w:type="pct"/>
            <w:tcBorders>
              <w:top w:val="nil"/>
              <w:left w:val="nil"/>
              <w:bottom w:val="single" w:color="auto" w:sz="4" w:space="0"/>
              <w:right w:val="single" w:color="auto" w:sz="4" w:space="0"/>
            </w:tcBorders>
            <w:vAlign w:val="center"/>
          </w:tcPr>
          <w:p w14:paraId="07A4B1A1">
            <w:pPr>
              <w:snapToGrid w:val="0"/>
              <w:spacing w:before="0" w:after="0" w:line="240" w:lineRule="auto"/>
              <w:ind w:firstLine="0"/>
              <w:jc w:val="center"/>
              <w:rPr>
                <w:rFonts w:hint="eastAsia" w:ascii="宋体" w:hAnsi="宋体"/>
                <w:color w:val="000000" w:themeColor="text1"/>
                <w:sz w:val="15"/>
                <w:szCs w:val="15"/>
              </w:rPr>
            </w:pPr>
            <w:r>
              <w:rPr>
                <w:rFonts w:hint="eastAsia" w:ascii="宋体" w:hAnsi="宋体"/>
                <w:color w:val="000000" w:themeColor="text1"/>
                <w:sz w:val="15"/>
                <w:szCs w:val="15"/>
              </w:rPr>
              <w:t>功能设计</w:t>
            </w:r>
          </w:p>
        </w:tc>
        <w:tc>
          <w:tcPr>
            <w:tcW w:w="2447" w:type="pct"/>
            <w:tcBorders>
              <w:top w:val="nil"/>
              <w:left w:val="nil"/>
              <w:bottom w:val="single" w:color="auto" w:sz="4" w:space="0"/>
              <w:right w:val="single" w:color="auto" w:sz="4" w:space="0"/>
            </w:tcBorders>
            <w:vAlign w:val="center"/>
          </w:tcPr>
          <w:p w14:paraId="543F247C">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T+</w:t>
            </w:r>
            <w:r>
              <w:rPr>
                <w:rFonts w:hint="eastAsia" w:ascii="宋体" w:hAnsi="宋体"/>
                <w:color w:val="000000" w:themeColor="text1"/>
                <w:sz w:val="15"/>
                <w:szCs w:val="15"/>
              </w:rPr>
              <w:t>30</w:t>
            </w:r>
          </w:p>
        </w:tc>
      </w:tr>
      <w:tr w14:paraId="21AB2647">
        <w:tblPrEx>
          <w:tblBorders>
            <w:top w:val="none" w:color="auto" w:sz="4" w:space="0"/>
            <w:left w:val="none" w:color="auto" w:sz="4" w:space="0"/>
            <w:bottom w:val="none" w:color="auto" w:sz="0"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415" w:hRule="atLeast"/>
        </w:trPr>
        <w:tc>
          <w:tcPr>
            <w:tcW w:w="394" w:type="pct"/>
            <w:tcBorders>
              <w:top w:val="nil"/>
              <w:left w:val="single" w:color="auto" w:sz="4" w:space="0"/>
              <w:bottom w:val="single" w:color="auto" w:sz="4" w:space="0"/>
              <w:right w:val="single" w:color="auto" w:sz="4" w:space="0"/>
            </w:tcBorders>
            <w:vAlign w:val="center"/>
          </w:tcPr>
          <w:p w14:paraId="40F23AAB">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3</w:t>
            </w:r>
          </w:p>
        </w:tc>
        <w:tc>
          <w:tcPr>
            <w:tcW w:w="2159" w:type="pct"/>
            <w:tcBorders>
              <w:top w:val="nil"/>
              <w:left w:val="nil"/>
              <w:bottom w:val="single" w:color="auto" w:sz="4" w:space="0"/>
              <w:right w:val="single" w:color="auto" w:sz="4" w:space="0"/>
            </w:tcBorders>
            <w:vAlign w:val="center"/>
          </w:tcPr>
          <w:p w14:paraId="27C191F5">
            <w:pPr>
              <w:snapToGrid w:val="0"/>
              <w:spacing w:before="0" w:after="0" w:line="240" w:lineRule="auto"/>
              <w:ind w:firstLine="0"/>
              <w:jc w:val="center"/>
              <w:rPr>
                <w:rFonts w:hint="eastAsia" w:ascii="宋体" w:hAnsi="宋体"/>
                <w:color w:val="000000" w:themeColor="text1"/>
                <w:sz w:val="15"/>
                <w:szCs w:val="15"/>
              </w:rPr>
            </w:pPr>
            <w:r>
              <w:rPr>
                <w:rFonts w:hint="eastAsia" w:ascii="宋体" w:hAnsi="宋体"/>
                <w:color w:val="000000" w:themeColor="text1"/>
                <w:sz w:val="15"/>
                <w:szCs w:val="15"/>
              </w:rPr>
              <w:t>功能开发</w:t>
            </w:r>
          </w:p>
        </w:tc>
        <w:tc>
          <w:tcPr>
            <w:tcW w:w="2447" w:type="pct"/>
            <w:tcBorders>
              <w:top w:val="nil"/>
              <w:left w:val="nil"/>
              <w:bottom w:val="single" w:color="auto" w:sz="4" w:space="0"/>
              <w:right w:val="single" w:color="auto" w:sz="4" w:space="0"/>
            </w:tcBorders>
            <w:vAlign w:val="center"/>
          </w:tcPr>
          <w:p w14:paraId="480923B1">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T+</w:t>
            </w:r>
            <w:r>
              <w:rPr>
                <w:rFonts w:hint="eastAsia" w:ascii="宋体" w:hAnsi="宋体"/>
                <w:color w:val="000000" w:themeColor="text1"/>
                <w:sz w:val="15"/>
                <w:szCs w:val="15"/>
              </w:rPr>
              <w:t>150</w:t>
            </w:r>
          </w:p>
        </w:tc>
      </w:tr>
      <w:tr w14:paraId="04BB9FA1">
        <w:tblPrEx>
          <w:tblBorders>
            <w:top w:val="none" w:color="auto" w:sz="4" w:space="0"/>
            <w:left w:val="none" w:color="auto" w:sz="4" w:space="0"/>
            <w:bottom w:val="none" w:color="auto" w:sz="0"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415" w:hRule="atLeast"/>
        </w:trPr>
        <w:tc>
          <w:tcPr>
            <w:tcW w:w="394" w:type="pct"/>
            <w:tcBorders>
              <w:top w:val="nil"/>
              <w:left w:val="single" w:color="auto" w:sz="4" w:space="0"/>
              <w:bottom w:val="single" w:color="auto" w:sz="4" w:space="0"/>
              <w:right w:val="single" w:color="auto" w:sz="4" w:space="0"/>
            </w:tcBorders>
            <w:vAlign w:val="center"/>
          </w:tcPr>
          <w:p w14:paraId="3DE837A0">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4</w:t>
            </w:r>
          </w:p>
        </w:tc>
        <w:tc>
          <w:tcPr>
            <w:tcW w:w="2159" w:type="pct"/>
            <w:tcBorders>
              <w:top w:val="nil"/>
              <w:left w:val="nil"/>
              <w:bottom w:val="single" w:color="auto" w:sz="4" w:space="0"/>
              <w:right w:val="single" w:color="auto" w:sz="4" w:space="0"/>
            </w:tcBorders>
            <w:vAlign w:val="center"/>
          </w:tcPr>
          <w:p w14:paraId="10AADA0E">
            <w:pPr>
              <w:snapToGrid w:val="0"/>
              <w:spacing w:before="0" w:after="0" w:line="240" w:lineRule="auto"/>
              <w:ind w:firstLine="0"/>
              <w:jc w:val="center"/>
              <w:rPr>
                <w:rFonts w:hint="eastAsia" w:ascii="宋体" w:hAnsi="宋体"/>
                <w:color w:val="000000" w:themeColor="text1"/>
                <w:sz w:val="15"/>
                <w:szCs w:val="15"/>
              </w:rPr>
            </w:pPr>
            <w:r>
              <w:rPr>
                <w:rFonts w:hint="eastAsia" w:ascii="宋体" w:hAnsi="宋体"/>
                <w:color w:val="000000" w:themeColor="text1"/>
                <w:sz w:val="15"/>
                <w:szCs w:val="15"/>
              </w:rPr>
              <w:t>系统联调测试</w:t>
            </w:r>
          </w:p>
        </w:tc>
        <w:tc>
          <w:tcPr>
            <w:tcW w:w="2447" w:type="pct"/>
            <w:tcBorders>
              <w:top w:val="nil"/>
              <w:left w:val="nil"/>
              <w:bottom w:val="single" w:color="auto" w:sz="4" w:space="0"/>
              <w:right w:val="single" w:color="auto" w:sz="4" w:space="0"/>
            </w:tcBorders>
            <w:vAlign w:val="center"/>
          </w:tcPr>
          <w:p w14:paraId="057C1844">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T+</w:t>
            </w:r>
            <w:r>
              <w:rPr>
                <w:rFonts w:hint="eastAsia" w:ascii="宋体" w:hAnsi="宋体"/>
                <w:color w:val="000000" w:themeColor="text1"/>
                <w:sz w:val="15"/>
                <w:szCs w:val="15"/>
              </w:rPr>
              <w:t>180</w:t>
            </w:r>
          </w:p>
        </w:tc>
      </w:tr>
      <w:tr w14:paraId="16FC053B">
        <w:tblPrEx>
          <w:tblBorders>
            <w:top w:val="none" w:color="auto" w:sz="4" w:space="0"/>
            <w:left w:val="none" w:color="auto" w:sz="4" w:space="0"/>
            <w:bottom w:val="none" w:color="auto" w:sz="0"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415" w:hRule="atLeast"/>
        </w:trPr>
        <w:tc>
          <w:tcPr>
            <w:tcW w:w="394" w:type="pct"/>
            <w:tcBorders>
              <w:top w:val="nil"/>
              <w:left w:val="single" w:color="auto" w:sz="4" w:space="0"/>
              <w:bottom w:val="single" w:color="auto" w:sz="4" w:space="0"/>
              <w:right w:val="single" w:color="auto" w:sz="4" w:space="0"/>
            </w:tcBorders>
            <w:vAlign w:val="center"/>
          </w:tcPr>
          <w:p w14:paraId="2CE79C6F">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5</w:t>
            </w:r>
          </w:p>
        </w:tc>
        <w:tc>
          <w:tcPr>
            <w:tcW w:w="2159" w:type="pct"/>
            <w:tcBorders>
              <w:top w:val="nil"/>
              <w:left w:val="nil"/>
              <w:bottom w:val="single" w:color="auto" w:sz="4" w:space="0"/>
              <w:right w:val="single" w:color="auto" w:sz="4" w:space="0"/>
            </w:tcBorders>
            <w:vAlign w:val="center"/>
          </w:tcPr>
          <w:p w14:paraId="4C6929F6">
            <w:pPr>
              <w:snapToGrid w:val="0"/>
              <w:spacing w:before="0" w:after="0" w:line="240" w:lineRule="auto"/>
              <w:ind w:firstLine="0"/>
              <w:jc w:val="center"/>
              <w:rPr>
                <w:rFonts w:hint="eastAsia" w:ascii="宋体" w:hAnsi="宋体"/>
                <w:color w:val="000000" w:themeColor="text1"/>
                <w:sz w:val="15"/>
                <w:szCs w:val="15"/>
              </w:rPr>
            </w:pPr>
            <w:r>
              <w:rPr>
                <w:rFonts w:hint="eastAsia" w:ascii="宋体" w:hAnsi="宋体"/>
                <w:color w:val="000000" w:themeColor="text1"/>
                <w:sz w:val="15"/>
                <w:szCs w:val="15"/>
              </w:rPr>
              <w:t>系统上线交维（割接上线）</w:t>
            </w:r>
          </w:p>
        </w:tc>
        <w:tc>
          <w:tcPr>
            <w:tcW w:w="2447" w:type="pct"/>
            <w:tcBorders>
              <w:top w:val="nil"/>
              <w:left w:val="nil"/>
              <w:bottom w:val="single" w:color="auto" w:sz="4" w:space="0"/>
              <w:right w:val="single" w:color="auto" w:sz="4" w:space="0"/>
            </w:tcBorders>
            <w:vAlign w:val="center"/>
          </w:tcPr>
          <w:p w14:paraId="797BA1D3">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T+</w:t>
            </w:r>
            <w:r>
              <w:rPr>
                <w:rFonts w:hint="eastAsia" w:ascii="宋体" w:hAnsi="宋体"/>
                <w:color w:val="000000" w:themeColor="text1"/>
                <w:sz w:val="15"/>
                <w:szCs w:val="15"/>
              </w:rPr>
              <w:t>210</w:t>
            </w:r>
          </w:p>
        </w:tc>
      </w:tr>
      <w:tr w14:paraId="75CA6854">
        <w:tblPrEx>
          <w:tblBorders>
            <w:top w:val="none" w:color="auto" w:sz="4" w:space="0"/>
            <w:left w:val="none" w:color="auto" w:sz="4" w:space="0"/>
            <w:bottom w:val="none" w:color="auto" w:sz="0"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415" w:hRule="atLeast"/>
        </w:trPr>
        <w:tc>
          <w:tcPr>
            <w:tcW w:w="394" w:type="pct"/>
            <w:tcBorders>
              <w:top w:val="single" w:color="auto" w:sz="4" w:space="0"/>
              <w:left w:val="single" w:color="auto" w:sz="4" w:space="0"/>
              <w:bottom w:val="single" w:color="auto" w:sz="4" w:space="0"/>
              <w:right w:val="single" w:color="auto" w:sz="4" w:space="0"/>
            </w:tcBorders>
            <w:vAlign w:val="center"/>
          </w:tcPr>
          <w:p w14:paraId="5D61595C">
            <w:pPr>
              <w:snapToGrid w:val="0"/>
              <w:spacing w:before="0" w:after="0" w:line="240" w:lineRule="auto"/>
              <w:ind w:firstLine="0"/>
              <w:jc w:val="center"/>
              <w:rPr>
                <w:rFonts w:hint="eastAsia" w:ascii="宋体" w:hAnsi="宋体"/>
                <w:color w:val="000000" w:themeColor="text1"/>
                <w:sz w:val="15"/>
                <w:szCs w:val="15"/>
              </w:rPr>
            </w:pPr>
            <w:r>
              <w:rPr>
                <w:rFonts w:hint="eastAsia" w:ascii="宋体" w:hAnsi="宋体"/>
                <w:color w:val="000000" w:themeColor="text1"/>
                <w:sz w:val="15"/>
                <w:szCs w:val="15"/>
              </w:rPr>
              <w:t>6</w:t>
            </w:r>
          </w:p>
        </w:tc>
        <w:tc>
          <w:tcPr>
            <w:tcW w:w="2159" w:type="pct"/>
            <w:tcBorders>
              <w:top w:val="single" w:color="auto" w:sz="4" w:space="0"/>
              <w:left w:val="nil"/>
              <w:bottom w:val="single" w:color="auto" w:sz="4" w:space="0"/>
              <w:right w:val="single" w:color="auto" w:sz="4" w:space="0"/>
            </w:tcBorders>
            <w:vAlign w:val="center"/>
          </w:tcPr>
          <w:p w14:paraId="7AAE0FB6">
            <w:pPr>
              <w:snapToGrid w:val="0"/>
              <w:spacing w:before="0" w:after="0" w:line="240" w:lineRule="auto"/>
              <w:ind w:firstLine="0"/>
              <w:jc w:val="center"/>
              <w:rPr>
                <w:rFonts w:hint="eastAsia" w:ascii="宋体" w:hAnsi="宋体"/>
                <w:color w:val="000000" w:themeColor="text1"/>
                <w:sz w:val="15"/>
                <w:szCs w:val="15"/>
              </w:rPr>
            </w:pPr>
            <w:r>
              <w:rPr>
                <w:rFonts w:hint="eastAsia" w:ascii="宋体" w:hAnsi="宋体"/>
                <w:color w:val="000000" w:themeColor="text1"/>
                <w:sz w:val="15"/>
                <w:szCs w:val="15"/>
              </w:rPr>
              <w:t>系统试运行</w:t>
            </w:r>
          </w:p>
        </w:tc>
        <w:tc>
          <w:tcPr>
            <w:tcW w:w="2447" w:type="pct"/>
            <w:tcBorders>
              <w:top w:val="single" w:color="auto" w:sz="4" w:space="0"/>
              <w:left w:val="nil"/>
              <w:bottom w:val="single" w:color="auto" w:sz="4" w:space="0"/>
              <w:right w:val="single" w:color="auto" w:sz="4" w:space="0"/>
            </w:tcBorders>
            <w:vAlign w:val="center"/>
          </w:tcPr>
          <w:p w14:paraId="029DAB89">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T+</w:t>
            </w:r>
            <w:r>
              <w:rPr>
                <w:rFonts w:hint="eastAsia" w:ascii="宋体" w:hAnsi="宋体"/>
                <w:color w:val="000000" w:themeColor="text1"/>
                <w:sz w:val="15"/>
                <w:szCs w:val="15"/>
              </w:rPr>
              <w:t>300</w:t>
            </w:r>
          </w:p>
        </w:tc>
      </w:tr>
      <w:tr w14:paraId="0F0FC4B3">
        <w:tblPrEx>
          <w:tblBorders>
            <w:top w:val="none" w:color="auto" w:sz="4" w:space="0"/>
            <w:left w:val="none" w:color="auto" w:sz="4" w:space="0"/>
            <w:bottom w:val="none" w:color="auto" w:sz="0" w:space="0"/>
            <w:right w:val="none" w:color="auto" w:sz="4" w:space="0"/>
            <w:insideH w:val="none" w:color="auto" w:sz="4" w:space="0"/>
            <w:insideV w:val="none" w:color="auto" w:sz="4" w:space="0"/>
          </w:tblBorders>
          <w:tblCellMar>
            <w:top w:w="0" w:type="dxa"/>
            <w:left w:w="108" w:type="dxa"/>
            <w:bottom w:w="0" w:type="dxa"/>
            <w:right w:w="108" w:type="dxa"/>
          </w:tblCellMar>
        </w:tblPrEx>
        <w:trPr>
          <w:trHeight w:val="424" w:hRule="atLeast"/>
        </w:trPr>
        <w:tc>
          <w:tcPr>
            <w:tcW w:w="394" w:type="pct"/>
            <w:tcBorders>
              <w:top w:val="single" w:color="auto" w:sz="4" w:space="0"/>
              <w:left w:val="single" w:color="auto" w:sz="4" w:space="0"/>
              <w:bottom w:val="single" w:color="auto" w:sz="4" w:space="0"/>
              <w:right w:val="single" w:color="auto" w:sz="4" w:space="0"/>
            </w:tcBorders>
            <w:vAlign w:val="center"/>
          </w:tcPr>
          <w:p w14:paraId="71115C3F">
            <w:pPr>
              <w:snapToGrid w:val="0"/>
              <w:spacing w:before="0" w:after="0" w:line="240" w:lineRule="auto"/>
              <w:ind w:firstLine="0"/>
              <w:jc w:val="center"/>
              <w:rPr>
                <w:rFonts w:hint="eastAsia" w:ascii="宋体" w:hAnsi="宋体"/>
                <w:color w:val="000000" w:themeColor="text1"/>
                <w:sz w:val="15"/>
                <w:szCs w:val="15"/>
              </w:rPr>
            </w:pPr>
            <w:r>
              <w:rPr>
                <w:rFonts w:hint="eastAsia" w:ascii="宋体" w:hAnsi="宋体"/>
                <w:color w:val="000000" w:themeColor="text1"/>
                <w:sz w:val="15"/>
                <w:szCs w:val="15"/>
              </w:rPr>
              <w:t>7</w:t>
            </w:r>
          </w:p>
        </w:tc>
        <w:tc>
          <w:tcPr>
            <w:tcW w:w="2159" w:type="pct"/>
            <w:tcBorders>
              <w:top w:val="single" w:color="auto" w:sz="4" w:space="0"/>
              <w:left w:val="nil"/>
              <w:bottom w:val="single" w:color="auto" w:sz="4" w:space="0"/>
              <w:right w:val="single" w:color="auto" w:sz="4" w:space="0"/>
            </w:tcBorders>
            <w:vAlign w:val="center"/>
          </w:tcPr>
          <w:p w14:paraId="420CC5DD">
            <w:pPr>
              <w:snapToGrid w:val="0"/>
              <w:spacing w:before="0" w:after="0" w:line="240" w:lineRule="auto"/>
              <w:ind w:firstLine="0"/>
              <w:jc w:val="center"/>
              <w:rPr>
                <w:rFonts w:hint="eastAsia" w:ascii="宋体" w:hAnsi="宋体"/>
                <w:color w:val="000000" w:themeColor="text1"/>
                <w:sz w:val="15"/>
                <w:szCs w:val="15"/>
              </w:rPr>
            </w:pPr>
            <w:r>
              <w:rPr>
                <w:rFonts w:hint="eastAsia" w:ascii="宋体" w:hAnsi="宋体"/>
                <w:color w:val="000000" w:themeColor="text1"/>
                <w:sz w:val="15"/>
                <w:szCs w:val="15"/>
              </w:rPr>
              <w:t>竣工验收</w:t>
            </w:r>
          </w:p>
        </w:tc>
        <w:tc>
          <w:tcPr>
            <w:tcW w:w="2447" w:type="pct"/>
            <w:tcBorders>
              <w:top w:val="single" w:color="auto" w:sz="4" w:space="0"/>
              <w:left w:val="nil"/>
              <w:bottom w:val="single" w:color="auto" w:sz="4" w:space="0"/>
              <w:right w:val="single" w:color="auto" w:sz="4" w:space="0"/>
            </w:tcBorders>
            <w:vAlign w:val="center"/>
          </w:tcPr>
          <w:p w14:paraId="7F0F7531">
            <w:pPr>
              <w:snapToGrid w:val="0"/>
              <w:spacing w:before="0" w:after="0" w:line="240" w:lineRule="auto"/>
              <w:ind w:firstLine="0"/>
              <w:jc w:val="center"/>
              <w:rPr>
                <w:rFonts w:hint="eastAsia" w:ascii="宋体" w:hAnsi="宋体"/>
                <w:color w:val="000000" w:themeColor="text1"/>
                <w:sz w:val="15"/>
                <w:szCs w:val="15"/>
              </w:rPr>
            </w:pPr>
            <w:r>
              <w:rPr>
                <w:rFonts w:ascii="宋体" w:hAnsi="宋体"/>
                <w:color w:val="000000" w:themeColor="text1"/>
                <w:sz w:val="15"/>
                <w:szCs w:val="15"/>
              </w:rPr>
              <w:t>T+</w:t>
            </w:r>
            <w:r>
              <w:rPr>
                <w:rFonts w:hint="eastAsia" w:ascii="宋体" w:hAnsi="宋体"/>
                <w:color w:val="000000" w:themeColor="text1"/>
                <w:sz w:val="15"/>
                <w:szCs w:val="15"/>
              </w:rPr>
              <w:t>330</w:t>
            </w:r>
          </w:p>
        </w:tc>
      </w:tr>
    </w:tbl>
    <w:p w14:paraId="20EE076B">
      <w:pPr>
        <w:pStyle w:val="38"/>
        <w:numPr>
          <w:ilvl w:val="1"/>
          <w:numId w:val="1"/>
        </w:numPr>
        <w:outlineLvl w:val="1"/>
        <w:rPr>
          <w:rFonts w:hint="eastAsia"/>
        </w:rPr>
      </w:pPr>
      <w:bookmarkStart w:id="5" w:name="_Toc18193"/>
      <w:bookmarkStart w:id="6" w:name="_Toc15748"/>
      <w:r>
        <w:rPr>
          <w:rFonts w:hint="eastAsia"/>
        </w:rPr>
        <w:t>★质保期服务</w:t>
      </w:r>
      <w:bookmarkEnd w:id="5"/>
      <w:bookmarkEnd w:id="6"/>
    </w:p>
    <w:p w14:paraId="669F6817">
      <w:pPr>
        <w:adjustRightInd w:val="0"/>
        <w:snapToGrid w:val="0"/>
        <w:spacing w:before="0" w:after="0" w:line="240" w:lineRule="auto"/>
        <w:ind w:firstLine="300"/>
        <w:rPr>
          <w:rFonts w:hint="eastAsia" w:ascii="宋体" w:hAnsi="宋体" w:cs="宋体"/>
          <w:sz w:val="15"/>
          <w:szCs w:val="15"/>
        </w:rPr>
      </w:pPr>
      <w:r>
        <w:rPr>
          <w:rFonts w:hint="eastAsia" w:ascii="宋体" w:hAnsi="宋体"/>
          <w:sz w:val="15"/>
          <w:szCs w:val="15"/>
        </w:rPr>
        <w:t>本项目质保</w:t>
      </w:r>
      <w:r>
        <w:rPr>
          <w:rFonts w:ascii="宋体" w:hAnsi="宋体"/>
          <w:sz w:val="15"/>
          <w:szCs w:val="15"/>
        </w:rPr>
        <w:t>期为</w:t>
      </w:r>
      <w:r>
        <w:rPr>
          <w:rFonts w:hint="eastAsia" w:ascii="宋体" w:hAnsi="宋体"/>
          <w:sz w:val="15"/>
          <w:szCs w:val="15"/>
        </w:rPr>
        <w:t>自</w:t>
      </w:r>
      <w:r>
        <w:rPr>
          <w:rFonts w:ascii="宋体" w:hAnsi="宋体"/>
          <w:sz w:val="15"/>
          <w:szCs w:val="15"/>
        </w:rPr>
        <w:t>终验后12个月</w:t>
      </w:r>
      <w:r>
        <w:rPr>
          <w:rFonts w:hint="eastAsia" w:ascii="宋体" w:hAnsi="宋体"/>
          <w:sz w:val="15"/>
          <w:szCs w:val="15"/>
        </w:rPr>
        <w:t>止</w:t>
      </w:r>
      <w:r>
        <w:rPr>
          <w:rFonts w:hint="eastAsia" w:ascii="宋体" w:hAnsi="宋体" w:cs="宋体"/>
          <w:sz w:val="15"/>
          <w:szCs w:val="15"/>
        </w:rPr>
        <w:t>，</w:t>
      </w:r>
      <w:r>
        <w:rPr>
          <w:rFonts w:ascii="宋体" w:hAnsi="宋体"/>
          <w:sz w:val="15"/>
          <w:szCs w:val="15"/>
        </w:rPr>
        <w:t>卖方应提供</w:t>
      </w:r>
      <w:r>
        <w:rPr>
          <w:rFonts w:hint="eastAsia" w:ascii="宋体" w:hAnsi="宋体"/>
          <w:sz w:val="15"/>
          <w:szCs w:val="15"/>
        </w:rPr>
        <w:t>中国移动贵州公司2025年大模型智能应用运营服务平台研发项目质保服务，具体</w:t>
      </w:r>
      <w:r>
        <w:rPr>
          <w:rFonts w:ascii="宋体" w:hAnsi="宋体"/>
          <w:sz w:val="15"/>
          <w:szCs w:val="15"/>
        </w:rPr>
        <w:t>服务</w:t>
      </w:r>
      <w:r>
        <w:rPr>
          <w:rFonts w:hint="eastAsia" w:ascii="宋体" w:hAnsi="宋体"/>
          <w:sz w:val="15"/>
          <w:szCs w:val="15"/>
        </w:rPr>
        <w:t>内容如下</w:t>
      </w:r>
      <w:r>
        <w:rPr>
          <w:rFonts w:hint="eastAsia" w:ascii="宋体" w:hAnsi="宋体" w:cs="宋体"/>
          <w:sz w:val="15"/>
          <w:szCs w:val="15"/>
        </w:rPr>
        <w:t>：</w:t>
      </w:r>
    </w:p>
    <w:p w14:paraId="0C691A7E">
      <w:pPr>
        <w:spacing w:before="0" w:after="0" w:line="240" w:lineRule="auto"/>
        <w:ind w:firstLine="420"/>
        <w:rPr>
          <w:rFonts w:hint="eastAsia" w:ascii="宋体" w:hAnsi="宋体"/>
          <w:sz w:val="15"/>
          <w:szCs w:val="15"/>
        </w:rPr>
      </w:pPr>
      <w:bookmarkStart w:id="7" w:name="_Toc46114839"/>
      <w:bookmarkStart w:id="8" w:name="_Toc521567458"/>
      <w:bookmarkStart w:id="9" w:name="_Toc73772229"/>
      <w:bookmarkStart w:id="10" w:name="_Toc136318433"/>
      <w:bookmarkStart w:id="11" w:name="_Toc165040938"/>
      <w:bookmarkStart w:id="12" w:name="_Toc69390185"/>
      <w:bookmarkStart w:id="13" w:name="_Toc132426318"/>
      <w:bookmarkStart w:id="14" w:name="_Toc70374405"/>
      <w:bookmarkStart w:id="15" w:name="_Toc135148923"/>
      <w:r>
        <w:rPr>
          <w:rFonts w:ascii="宋体" w:hAnsi="宋体"/>
          <w:sz w:val="15"/>
          <w:szCs w:val="15"/>
        </w:rPr>
        <w:t>（1）</w:t>
      </w:r>
      <w:r>
        <w:rPr>
          <w:rFonts w:hint="eastAsia" w:ascii="宋体" w:hAnsi="宋体"/>
          <w:sz w:val="15"/>
          <w:szCs w:val="15"/>
        </w:rPr>
        <w:t>基本质保服务</w:t>
      </w:r>
      <w:bookmarkEnd w:id="7"/>
      <w:bookmarkEnd w:id="8"/>
      <w:bookmarkEnd w:id="9"/>
      <w:bookmarkEnd w:id="10"/>
      <w:bookmarkEnd w:id="11"/>
      <w:bookmarkEnd w:id="12"/>
      <w:bookmarkEnd w:id="13"/>
      <w:bookmarkEnd w:id="14"/>
      <w:bookmarkEnd w:id="15"/>
    </w:p>
    <w:p w14:paraId="372A08F9">
      <w:pPr>
        <w:adjustRightInd w:val="0"/>
        <w:snapToGrid w:val="0"/>
        <w:spacing w:before="0" w:after="0" w:line="240" w:lineRule="auto"/>
        <w:ind w:firstLine="300"/>
        <w:rPr>
          <w:rFonts w:hint="eastAsia" w:ascii="宋体" w:hAnsi="宋体" w:cs="宋体"/>
          <w:sz w:val="15"/>
          <w:szCs w:val="15"/>
        </w:rPr>
      </w:pPr>
      <w:r>
        <w:rPr>
          <w:rFonts w:hint="eastAsia" w:ascii="宋体" w:hAnsi="宋体" w:cs="宋体"/>
          <w:sz w:val="15"/>
          <w:szCs w:val="15"/>
        </w:rPr>
        <w:t>基本质保服务指为保证系统正常运行所需的预防性技术支持，日常技术支持，网络调整支持，数据存储支持等。包括不限于</w:t>
      </w:r>
      <w:bookmarkStart w:id="16" w:name="_Toc46114845"/>
      <w:bookmarkStart w:id="17" w:name="_Toc69390191"/>
      <w:bookmarkStart w:id="18" w:name="_Toc521567464"/>
      <w:bookmarkStart w:id="19" w:name="_Toc70374411"/>
      <w:r>
        <w:rPr>
          <w:rFonts w:hint="eastAsia" w:ascii="宋体" w:hAnsi="宋体" w:cs="宋体"/>
          <w:sz w:val="15"/>
          <w:szCs w:val="15"/>
        </w:rPr>
        <w:t>数据安全性管理技术支持</w:t>
      </w:r>
      <w:bookmarkEnd w:id="16"/>
      <w:bookmarkEnd w:id="17"/>
      <w:bookmarkEnd w:id="18"/>
      <w:bookmarkEnd w:id="19"/>
      <w:r>
        <w:rPr>
          <w:rFonts w:hint="eastAsia" w:ascii="宋体" w:hAnsi="宋体" w:cs="宋体"/>
          <w:sz w:val="15"/>
          <w:szCs w:val="15"/>
        </w:rPr>
        <w:t>、对系统的数据存储和恢复技术支持，以备在异常情况下尽快恢复系统。</w:t>
      </w:r>
      <w:bookmarkStart w:id="20" w:name="_Toc132426320"/>
      <w:bookmarkStart w:id="21" w:name="_Toc73772231"/>
      <w:bookmarkStart w:id="22" w:name="_Toc135148925"/>
      <w:bookmarkStart w:id="23" w:name="_Toc136318435"/>
    </w:p>
    <w:p w14:paraId="62A710F2">
      <w:pPr>
        <w:spacing w:before="0" w:after="0" w:line="240" w:lineRule="auto"/>
        <w:ind w:firstLine="420"/>
        <w:rPr>
          <w:rFonts w:hint="eastAsia" w:ascii="宋体" w:hAnsi="宋体"/>
          <w:sz w:val="15"/>
          <w:szCs w:val="15"/>
        </w:rPr>
      </w:pPr>
      <w:bookmarkStart w:id="24" w:name="_Toc165040939"/>
      <w:r>
        <w:rPr>
          <w:rFonts w:hint="eastAsia" w:ascii="宋体" w:hAnsi="宋体"/>
          <w:sz w:val="15"/>
          <w:szCs w:val="15"/>
        </w:rPr>
        <w:t>（</w:t>
      </w:r>
      <w:r>
        <w:rPr>
          <w:rFonts w:ascii="宋体" w:hAnsi="宋体"/>
          <w:sz w:val="15"/>
          <w:szCs w:val="15"/>
        </w:rPr>
        <w:t>2</w:t>
      </w:r>
      <w:r>
        <w:rPr>
          <w:rFonts w:hint="eastAsia" w:ascii="宋体" w:hAnsi="宋体"/>
          <w:sz w:val="15"/>
          <w:szCs w:val="15"/>
        </w:rPr>
        <w:t>）升级支持服务</w:t>
      </w:r>
      <w:bookmarkEnd w:id="20"/>
      <w:bookmarkEnd w:id="21"/>
      <w:bookmarkEnd w:id="22"/>
      <w:bookmarkEnd w:id="23"/>
      <w:bookmarkEnd w:id="24"/>
    </w:p>
    <w:p w14:paraId="3E42019C">
      <w:pPr>
        <w:widowControl w:val="0"/>
        <w:numPr>
          <w:ilvl w:val="0"/>
          <w:numId w:val="2"/>
        </w:numPr>
        <w:spacing w:before="0" w:after="0" w:line="240" w:lineRule="auto"/>
        <w:rPr>
          <w:rFonts w:hint="eastAsia" w:ascii="宋体" w:hAnsi="宋体"/>
          <w:sz w:val="15"/>
          <w:szCs w:val="15"/>
        </w:rPr>
      </w:pPr>
      <w:r>
        <w:rPr>
          <w:rFonts w:ascii="宋体" w:hAnsi="宋体"/>
          <w:sz w:val="15"/>
          <w:szCs w:val="15"/>
        </w:rPr>
        <w:t>版本升级技术支持。</w:t>
      </w:r>
    </w:p>
    <w:p w14:paraId="05449485">
      <w:pPr>
        <w:widowControl w:val="0"/>
        <w:numPr>
          <w:ilvl w:val="0"/>
          <w:numId w:val="2"/>
        </w:numPr>
        <w:tabs>
          <w:tab w:val="clear" w:pos="0"/>
        </w:tabs>
        <w:spacing w:before="0" w:after="0" w:line="240" w:lineRule="auto"/>
        <w:rPr>
          <w:rFonts w:hint="eastAsia" w:ascii="宋体" w:hAnsi="宋体"/>
          <w:sz w:val="15"/>
          <w:szCs w:val="15"/>
        </w:rPr>
      </w:pPr>
      <w:r>
        <w:rPr>
          <w:rFonts w:ascii="宋体" w:hAnsi="宋体"/>
          <w:sz w:val="15"/>
          <w:szCs w:val="15"/>
        </w:rPr>
        <w:t>第三方软件升级：在我方已经购买的第三方软件的升级服务的情况下，卖方应在第三方软件升级时进行相关的技术支持。</w:t>
      </w:r>
    </w:p>
    <w:p w14:paraId="33025370">
      <w:pPr>
        <w:widowControl w:val="0"/>
        <w:numPr>
          <w:ilvl w:val="0"/>
          <w:numId w:val="2"/>
        </w:numPr>
        <w:spacing w:before="0" w:after="0" w:line="240" w:lineRule="auto"/>
        <w:rPr>
          <w:rFonts w:hint="eastAsia" w:ascii="宋体" w:hAnsi="宋体"/>
          <w:sz w:val="15"/>
          <w:szCs w:val="15"/>
        </w:rPr>
      </w:pPr>
      <w:r>
        <w:rPr>
          <w:rFonts w:hint="eastAsia" w:ascii="宋体" w:hAnsi="宋体"/>
          <w:sz w:val="15"/>
          <w:szCs w:val="15"/>
        </w:rPr>
        <w:t>卖方在质保期内，承诺3名人员负责提供现场技术支持服务对软件的日常运行</w:t>
      </w:r>
      <w:r>
        <w:rPr>
          <w:rFonts w:ascii="宋体" w:hAnsi="宋体"/>
          <w:sz w:val="15"/>
          <w:szCs w:val="15"/>
        </w:rPr>
        <w:t>维护</w:t>
      </w:r>
      <w:r>
        <w:rPr>
          <w:rFonts w:hint="eastAsia" w:ascii="宋体" w:hAnsi="宋体"/>
          <w:sz w:val="15"/>
          <w:szCs w:val="15"/>
        </w:rPr>
        <w:t>，系统漏洞修复等工作。</w:t>
      </w:r>
    </w:p>
    <w:p w14:paraId="7B47AE19">
      <w:pPr>
        <w:widowControl w:val="0"/>
        <w:numPr>
          <w:ilvl w:val="0"/>
          <w:numId w:val="2"/>
        </w:numPr>
        <w:spacing w:before="0" w:after="0" w:line="240" w:lineRule="auto"/>
        <w:rPr>
          <w:rFonts w:hint="eastAsia" w:ascii="宋体" w:hAnsi="宋体"/>
          <w:sz w:val="15"/>
          <w:szCs w:val="15"/>
        </w:rPr>
      </w:pPr>
      <w:r>
        <w:rPr>
          <w:rFonts w:ascii="宋体" w:hAnsi="宋体"/>
          <w:sz w:val="15"/>
          <w:szCs w:val="15"/>
        </w:rPr>
        <w:t>7</w:t>
      </w:r>
      <w:r>
        <w:rPr>
          <w:rFonts w:hint="eastAsia" w:ascii="宋体" w:hAnsi="宋体"/>
          <w:sz w:val="15"/>
          <w:szCs w:val="15"/>
        </w:rPr>
        <w:t>×</w:t>
      </w:r>
      <w:r>
        <w:rPr>
          <w:rFonts w:ascii="宋体" w:hAnsi="宋体"/>
          <w:sz w:val="15"/>
          <w:szCs w:val="15"/>
        </w:rPr>
        <w:t>24</w:t>
      </w:r>
      <w:r>
        <w:rPr>
          <w:rFonts w:hint="eastAsia" w:ascii="宋体" w:hAnsi="宋体"/>
          <w:sz w:val="15"/>
          <w:szCs w:val="15"/>
        </w:rPr>
        <w:t>小时电话技术咨询服务。</w:t>
      </w:r>
    </w:p>
    <w:p w14:paraId="07EF010D">
      <w:pPr>
        <w:spacing w:before="0" w:after="0" w:line="240" w:lineRule="auto"/>
        <w:ind w:firstLine="300"/>
        <w:rPr>
          <w:rFonts w:hint="eastAsia" w:ascii="宋体" w:hAnsi="宋体"/>
          <w:sz w:val="15"/>
          <w:szCs w:val="15"/>
        </w:rPr>
      </w:pPr>
      <w:bookmarkStart w:id="25" w:name="_Toc73772234"/>
      <w:bookmarkStart w:id="26" w:name="_Toc135148928"/>
      <w:bookmarkStart w:id="27" w:name="_Toc132426323"/>
      <w:bookmarkStart w:id="28" w:name="_Toc136318438"/>
      <w:r>
        <w:rPr>
          <w:rFonts w:ascii="宋体" w:hAnsi="宋体"/>
          <w:sz w:val="15"/>
          <w:szCs w:val="15"/>
        </w:rPr>
        <w:t>（3）技术资料支持</w:t>
      </w:r>
      <w:bookmarkEnd w:id="25"/>
      <w:bookmarkEnd w:id="26"/>
      <w:bookmarkEnd w:id="27"/>
      <w:bookmarkEnd w:id="28"/>
    </w:p>
    <w:p w14:paraId="77080EE2">
      <w:pPr>
        <w:spacing w:before="0" w:after="0" w:line="240" w:lineRule="auto"/>
        <w:ind w:firstLine="300"/>
        <w:rPr>
          <w:rFonts w:hint="eastAsia" w:ascii="宋体" w:hAnsi="宋体"/>
          <w:sz w:val="15"/>
          <w:szCs w:val="15"/>
        </w:rPr>
      </w:pPr>
      <w:r>
        <w:rPr>
          <w:rFonts w:ascii="宋体" w:hAnsi="宋体"/>
          <w:sz w:val="15"/>
          <w:szCs w:val="15"/>
        </w:rPr>
        <w:t>卖方提供全面详</w:t>
      </w:r>
      <w:r>
        <w:rPr>
          <w:rFonts w:hint="eastAsia" w:ascii="宋体" w:hAnsi="宋体"/>
          <w:sz w:val="15"/>
          <w:szCs w:val="15"/>
        </w:rPr>
        <w:t>细</w:t>
      </w:r>
      <w:r>
        <w:rPr>
          <w:rFonts w:ascii="宋体" w:hAnsi="宋体"/>
          <w:sz w:val="15"/>
          <w:szCs w:val="15"/>
        </w:rPr>
        <w:t>的应用软件系统及第三方软件系统技术资料，当系统或网络发生变化时在5个工作日内更新相关文档。</w:t>
      </w:r>
    </w:p>
    <w:p w14:paraId="0B2FF907">
      <w:pPr>
        <w:pStyle w:val="2"/>
        <w:spacing w:line="240" w:lineRule="auto"/>
        <w:ind w:firstLine="300"/>
        <w:rPr>
          <w:rFonts w:hint="eastAsia" w:ascii="宋体" w:hAnsi="宋体"/>
          <w:color w:val="FF0000"/>
          <w:sz w:val="15"/>
          <w:szCs w:val="15"/>
        </w:rPr>
      </w:pPr>
    </w:p>
    <w:p w14:paraId="4A713E03">
      <w:pPr>
        <w:pStyle w:val="2"/>
        <w:spacing w:line="240" w:lineRule="auto"/>
        <w:ind w:firstLine="300"/>
        <w:rPr>
          <w:rFonts w:hint="eastAsia" w:ascii="宋体" w:hAnsi="宋体"/>
          <w:color w:val="FF0000"/>
          <w:sz w:val="15"/>
          <w:szCs w:val="15"/>
        </w:rPr>
      </w:pPr>
      <w:r>
        <w:rPr>
          <w:rFonts w:hint="eastAsia"/>
          <w:sz w:val="15"/>
          <w:szCs w:val="15"/>
        </w:rPr>
        <w:t>注：卖方应根据项目维护服务内容及要求，提供维护服务内容及要求承诺。</w:t>
      </w:r>
    </w:p>
    <w:p w14:paraId="1F97CBBF">
      <w:pPr>
        <w:pStyle w:val="38"/>
        <w:numPr>
          <w:ilvl w:val="1"/>
          <w:numId w:val="1"/>
        </w:numPr>
        <w:outlineLvl w:val="1"/>
        <w:rPr>
          <w:rFonts w:hint="eastAsia"/>
        </w:rPr>
      </w:pPr>
      <w:bookmarkStart w:id="29" w:name="_Toc16248"/>
      <w:r>
        <w:t>★</w:t>
      </w:r>
      <w:r>
        <w:rPr>
          <w:rFonts w:hint="eastAsia"/>
        </w:rPr>
        <w:t>应急要求</w:t>
      </w:r>
      <w:bookmarkEnd w:id="29"/>
    </w:p>
    <w:p w14:paraId="1D703348">
      <w:pPr>
        <w:spacing w:before="0" w:after="0" w:line="240" w:lineRule="auto"/>
        <w:ind w:firstLine="300"/>
        <w:rPr>
          <w:rFonts w:hint="eastAsia" w:ascii="宋体" w:hAnsi="宋体"/>
          <w:sz w:val="15"/>
          <w:szCs w:val="15"/>
        </w:rPr>
      </w:pPr>
      <w:r>
        <w:rPr>
          <w:rFonts w:hint="eastAsia" w:ascii="宋体" w:hAnsi="宋体"/>
          <w:sz w:val="15"/>
          <w:szCs w:val="15"/>
        </w:rPr>
        <w:t>1、故障响应:在服务期内提供7x24小时的服务技术支持服务(方式包括但不限于热线电话、传真、电子邮件)，在处理紧急问题时确保1小时内赶到现场；系统出现故障后故障修复要求如下:</w:t>
      </w:r>
    </w:p>
    <w:p w14:paraId="746C2346">
      <w:pPr>
        <w:spacing w:before="0" w:after="0" w:line="240" w:lineRule="auto"/>
        <w:ind w:firstLine="300"/>
        <w:rPr>
          <w:rFonts w:hint="eastAsia" w:ascii="宋体" w:hAnsi="宋体"/>
          <w:sz w:val="15"/>
          <w:szCs w:val="15"/>
        </w:rPr>
      </w:pPr>
      <w:r>
        <w:rPr>
          <w:rFonts w:hint="eastAsia" w:ascii="宋体" w:hAnsi="宋体"/>
          <w:sz w:val="15"/>
          <w:szCs w:val="15"/>
        </w:rPr>
        <w:t>①重大故障:指系统全部业务不可用，3小时内故障修复。</w:t>
      </w:r>
    </w:p>
    <w:p w14:paraId="739237A0">
      <w:pPr>
        <w:spacing w:before="0" w:after="0" w:line="240" w:lineRule="auto"/>
        <w:ind w:firstLine="300"/>
        <w:rPr>
          <w:rFonts w:hint="eastAsia" w:ascii="宋体" w:hAnsi="宋体"/>
          <w:sz w:val="15"/>
          <w:szCs w:val="15"/>
        </w:rPr>
      </w:pPr>
      <w:r>
        <w:rPr>
          <w:rFonts w:hint="eastAsia" w:ascii="宋体" w:hAnsi="宋体"/>
          <w:sz w:val="15"/>
          <w:szCs w:val="15"/>
        </w:rPr>
        <w:t>②严重故障:指系统关键业务(页面、接口)不可用，同时影响5个及以上的客户使用，1小时内提供解决办法，6小时内故障修复。</w:t>
      </w:r>
    </w:p>
    <w:p w14:paraId="4B6CF76D">
      <w:pPr>
        <w:spacing w:before="0" w:after="0" w:line="240" w:lineRule="auto"/>
        <w:ind w:firstLine="300"/>
        <w:rPr>
          <w:rFonts w:hint="eastAsia" w:ascii="宋体" w:hAnsi="宋体"/>
          <w:sz w:val="15"/>
          <w:szCs w:val="15"/>
        </w:rPr>
      </w:pPr>
      <w:r>
        <w:rPr>
          <w:rFonts w:hint="eastAsia" w:ascii="宋体" w:hAnsi="宋体"/>
          <w:sz w:val="15"/>
          <w:szCs w:val="15"/>
        </w:rPr>
        <w:t>③较大故障:指系统关键业务(页面、接口)不可用，同时影响3个及以上的客户使用，1小时内提供解决办法，9小时内故障修复。</w:t>
      </w:r>
    </w:p>
    <w:p w14:paraId="2E5CE5A5">
      <w:pPr>
        <w:spacing w:before="0" w:after="0" w:line="240" w:lineRule="auto"/>
        <w:ind w:firstLine="300"/>
        <w:rPr>
          <w:rFonts w:hint="eastAsia" w:ascii="宋体" w:hAnsi="宋体"/>
          <w:sz w:val="15"/>
          <w:szCs w:val="15"/>
        </w:rPr>
      </w:pPr>
      <w:r>
        <w:rPr>
          <w:rFonts w:hint="eastAsia" w:ascii="宋体" w:hAnsi="宋体"/>
          <w:sz w:val="15"/>
          <w:szCs w:val="15"/>
        </w:rPr>
        <w:t>④一般故障:指系统关键业务(页面、接口)不可用，同时影响1个及以上的客户使用，2小时内提供解决办法，12小时内故障修复。</w:t>
      </w:r>
    </w:p>
    <w:p w14:paraId="70ED85E2">
      <w:pPr>
        <w:pStyle w:val="38"/>
        <w:numPr>
          <w:ilvl w:val="1"/>
          <w:numId w:val="1"/>
        </w:numPr>
        <w:outlineLvl w:val="1"/>
        <w:rPr>
          <w:rFonts w:hint="eastAsia"/>
        </w:rPr>
      </w:pPr>
      <w:bookmarkStart w:id="30" w:name="_Toc20019"/>
      <w:bookmarkStart w:id="31" w:name="_Toc27026"/>
      <w:bookmarkStart w:id="32" w:name="_Toc499537934"/>
      <w:bookmarkStart w:id="33" w:name="_Toc456084056"/>
      <w:r>
        <w:rPr>
          <w:rFonts w:hint="eastAsia"/>
        </w:rPr>
        <w:t>项目实施人员要求</w:t>
      </w:r>
      <w:bookmarkEnd w:id="30"/>
      <w:bookmarkEnd w:id="31"/>
      <w:bookmarkEnd w:id="32"/>
      <w:bookmarkEnd w:id="33"/>
    </w:p>
    <w:p w14:paraId="6336270F">
      <w:pPr>
        <w:pStyle w:val="38"/>
        <w:numPr>
          <w:ilvl w:val="2"/>
          <w:numId w:val="1"/>
        </w:numPr>
        <w:outlineLvl w:val="2"/>
        <w:rPr>
          <w:rFonts w:hint="eastAsia"/>
        </w:rPr>
      </w:pPr>
      <w:bookmarkStart w:id="34" w:name="_Toc16321"/>
      <w:bookmarkStart w:id="35" w:name="_Toc10129"/>
      <w:bookmarkStart w:id="36" w:name="_Toc456084057"/>
      <w:bookmarkStart w:id="37" w:name="_Toc286929474"/>
      <w:bookmarkStart w:id="38" w:name="_Toc288038902"/>
      <w:bookmarkStart w:id="39" w:name="_Toc316850160"/>
      <w:bookmarkStart w:id="40" w:name="_Toc499537935"/>
      <w:r>
        <w:rPr>
          <w:rFonts w:hint="eastAsia"/>
        </w:rPr>
        <w:t>★项目经理</w:t>
      </w:r>
      <w:bookmarkEnd w:id="34"/>
      <w:bookmarkEnd w:id="35"/>
    </w:p>
    <w:p w14:paraId="2F85634F">
      <w:pPr>
        <w:spacing w:before="0" w:after="0" w:line="240" w:lineRule="auto"/>
        <w:ind w:firstLine="300"/>
        <w:rPr>
          <w:rFonts w:hint="eastAsia" w:ascii="宋体" w:hAnsi="宋体" w:cs="宋体"/>
          <w:color w:val="FF0000"/>
          <w:sz w:val="15"/>
          <w:szCs w:val="15"/>
        </w:rPr>
      </w:pPr>
      <w:r>
        <w:rPr>
          <w:rFonts w:hint="eastAsia" w:ascii="宋体" w:hAnsi="宋体" w:cs="宋体"/>
          <w:color w:val="FF0000"/>
          <w:sz w:val="15"/>
          <w:szCs w:val="15"/>
        </w:rPr>
        <w:t>本项目需项目经理1名，项目经理的能力素质要求如下：</w:t>
      </w:r>
    </w:p>
    <w:p w14:paraId="2B3FA704">
      <w:pPr>
        <w:spacing w:before="0" w:after="0" w:line="240" w:lineRule="auto"/>
        <w:ind w:firstLine="300"/>
        <w:rPr>
          <w:rFonts w:hint="eastAsia" w:ascii="宋体" w:hAnsi="宋体" w:cs="宋体"/>
          <w:color w:val="FF0000"/>
          <w:sz w:val="15"/>
          <w:szCs w:val="15"/>
        </w:rPr>
      </w:pPr>
      <w:r>
        <w:rPr>
          <w:rFonts w:hint="eastAsia" w:ascii="宋体" w:hAnsi="宋体" w:cs="宋体"/>
          <w:color w:val="FF0000"/>
          <w:sz w:val="15"/>
          <w:szCs w:val="15"/>
        </w:rPr>
        <w:t>（1）具备本科或以上学历。</w:t>
      </w:r>
    </w:p>
    <w:p w14:paraId="43F70BB6">
      <w:pPr>
        <w:spacing w:before="0" w:after="0" w:line="240" w:lineRule="auto"/>
        <w:ind w:firstLine="300"/>
        <w:rPr>
          <w:rFonts w:hint="eastAsia" w:ascii="宋体" w:hAnsi="宋体" w:cs="宋体"/>
          <w:color w:val="FF0000"/>
          <w:sz w:val="15"/>
          <w:szCs w:val="15"/>
        </w:rPr>
      </w:pPr>
      <w:r>
        <w:rPr>
          <w:rFonts w:hint="eastAsia" w:ascii="宋体" w:hAnsi="宋体" w:cs="宋体"/>
          <w:color w:val="FF0000"/>
          <w:sz w:val="15"/>
          <w:szCs w:val="15"/>
        </w:rPr>
        <w:t>（2）具备类似软件开发相关管理工作经验5年及以上。</w:t>
      </w:r>
    </w:p>
    <w:p w14:paraId="778914FD">
      <w:pPr>
        <w:spacing w:before="0" w:after="0" w:line="240" w:lineRule="auto"/>
        <w:ind w:firstLine="300"/>
        <w:rPr>
          <w:rFonts w:hint="eastAsia" w:hAnsi="宋体"/>
          <w:sz w:val="15"/>
          <w:szCs w:val="15"/>
        </w:rPr>
      </w:pPr>
      <w:r>
        <w:rPr>
          <w:rFonts w:hint="eastAsia" w:hAnsi="宋体"/>
          <w:sz w:val="15"/>
          <w:szCs w:val="15"/>
        </w:rPr>
        <w:t>以上需提供证明材料包括：</w:t>
      </w:r>
    </w:p>
    <w:p w14:paraId="60F71FE0">
      <w:pPr>
        <w:pStyle w:val="15"/>
        <w:ind w:firstLine="420"/>
        <w:rPr>
          <w:rFonts w:hint="eastAsia" w:hAnsi="宋体"/>
          <w:sz w:val="15"/>
          <w:szCs w:val="15"/>
        </w:rPr>
      </w:pPr>
      <w:r>
        <w:rPr>
          <w:rFonts w:hint="eastAsia" w:hAnsi="宋体"/>
          <w:sz w:val="15"/>
          <w:szCs w:val="15"/>
        </w:rPr>
        <w:t>1、以上人员需提供有效的身份证正反面扫描件、简历、学历证明文件（毕业证和学信网截图）、资格证书扫描件。</w:t>
      </w:r>
    </w:p>
    <w:p w14:paraId="038EB8DC">
      <w:pPr>
        <w:pStyle w:val="15"/>
        <w:ind w:firstLine="420"/>
        <w:rPr>
          <w:rFonts w:hint="eastAsia" w:hAnsi="宋体"/>
          <w:sz w:val="15"/>
          <w:szCs w:val="15"/>
        </w:rPr>
      </w:pPr>
      <w:r>
        <w:rPr>
          <w:rFonts w:hint="eastAsia" w:hAnsi="宋体"/>
          <w:sz w:val="15"/>
          <w:szCs w:val="15"/>
        </w:rPr>
        <w:t>2、提供相关证书扫描件的，原件备查；提供相关证书的网站查询截图时，截图中必须包括相关查询网页的地址栏；</w:t>
      </w:r>
    </w:p>
    <w:p w14:paraId="1556734A">
      <w:pPr>
        <w:pStyle w:val="15"/>
        <w:ind w:firstLine="420"/>
        <w:rPr>
          <w:rFonts w:hint="eastAsia" w:hAnsi="宋体"/>
          <w:sz w:val="15"/>
          <w:szCs w:val="15"/>
        </w:rPr>
      </w:pPr>
      <w:r>
        <w:rPr>
          <w:rFonts w:hint="eastAsia" w:hAnsi="宋体"/>
          <w:sz w:val="15"/>
          <w:szCs w:val="15"/>
        </w:rPr>
        <w:t>3、项目经理社保须由投标人缴纳，提供自2024年1月1日至应答截止时间止，任意连续3个月的社保缴纳证明材料（若非应答人本单位或分公司缴纳，还需提供应答人与第三方缴纳社保服务机构签订的合同或协议，如未提供或提供资料无法体现该员工为本应答人单位人员，视为该人员非应答人本单位员工）（退休返聘无法提供社保的，提供退休证及返聘合同）。</w:t>
      </w:r>
    </w:p>
    <w:p w14:paraId="3091AD88">
      <w:pPr>
        <w:pStyle w:val="15"/>
        <w:ind w:firstLine="420"/>
        <w:rPr>
          <w:rFonts w:hint="eastAsia" w:hAnsi="宋体"/>
          <w:color w:val="FF0000"/>
          <w:sz w:val="15"/>
          <w:szCs w:val="15"/>
        </w:rPr>
      </w:pPr>
      <w:r>
        <w:rPr>
          <w:rFonts w:hint="eastAsia" w:hAnsi="宋体"/>
          <w:color w:val="FF0000"/>
          <w:sz w:val="15"/>
          <w:szCs w:val="15"/>
        </w:rPr>
        <w:t>4、工作经验以简历描述为准。</w:t>
      </w:r>
    </w:p>
    <w:p w14:paraId="5FBB1777">
      <w:pPr>
        <w:pStyle w:val="38"/>
        <w:numPr>
          <w:ilvl w:val="2"/>
          <w:numId w:val="1"/>
        </w:numPr>
        <w:outlineLvl w:val="2"/>
        <w:rPr>
          <w:rFonts w:hint="eastAsia"/>
        </w:rPr>
      </w:pPr>
      <w:bookmarkStart w:id="41" w:name="_Toc21613"/>
      <w:bookmarkStart w:id="42" w:name="_Toc17893"/>
      <w:r>
        <w:rPr>
          <w:rFonts w:hint="eastAsia"/>
        </w:rPr>
        <w:t>★团队</w:t>
      </w:r>
      <w:r>
        <w:t>成员</w:t>
      </w:r>
      <w:bookmarkEnd w:id="41"/>
      <w:bookmarkEnd w:id="42"/>
    </w:p>
    <w:p w14:paraId="27802100">
      <w:pPr>
        <w:spacing w:before="0" w:after="0" w:line="240" w:lineRule="auto"/>
        <w:ind w:firstLine="300"/>
        <w:textAlignment w:val="baseline"/>
        <w:rPr>
          <w:rFonts w:hint="eastAsia" w:ascii="宋体" w:hAnsi="宋体"/>
          <w:sz w:val="15"/>
          <w:szCs w:val="15"/>
          <w:lang w:bidi="ar"/>
        </w:rPr>
      </w:pPr>
      <w:r>
        <w:rPr>
          <w:rFonts w:hint="eastAsia" w:ascii="宋体" w:hAnsi="宋体"/>
          <w:color w:val="FF0000"/>
          <w:sz w:val="15"/>
          <w:szCs w:val="15"/>
          <w:lang w:bidi="ar"/>
        </w:rPr>
        <w:t>本项目团队成员至少6名，其中需求分析人员1人，开发测试人员3人，运维人员2名，所有团队成员需提供驻场服务。团队成员的能力素质要求如下：</w:t>
      </w:r>
    </w:p>
    <w:p w14:paraId="797EBEA2">
      <w:pPr>
        <w:spacing w:before="0" w:after="0" w:line="240" w:lineRule="auto"/>
        <w:ind w:firstLine="300"/>
        <w:textAlignment w:val="baseline"/>
        <w:rPr>
          <w:rFonts w:hint="eastAsia" w:ascii="宋体" w:hAnsi="宋体"/>
          <w:color w:val="FF0000"/>
          <w:sz w:val="15"/>
          <w:szCs w:val="15"/>
          <w:lang w:bidi="ar"/>
        </w:rPr>
      </w:pPr>
      <w:r>
        <w:rPr>
          <w:rFonts w:hint="eastAsia" w:ascii="宋体" w:hAnsi="宋体"/>
          <w:color w:val="FF0000"/>
          <w:sz w:val="15"/>
          <w:szCs w:val="15"/>
          <w:lang w:bidi="ar"/>
        </w:rPr>
        <w:t>（1）具备本科及以上学历。</w:t>
      </w:r>
    </w:p>
    <w:p w14:paraId="0E64518E">
      <w:pPr>
        <w:spacing w:before="0" w:after="0" w:line="240" w:lineRule="auto"/>
        <w:ind w:firstLine="300"/>
        <w:textAlignment w:val="baseline"/>
        <w:rPr>
          <w:rFonts w:hint="eastAsia" w:ascii="宋体" w:hAnsi="宋体"/>
          <w:color w:val="FF0000"/>
          <w:sz w:val="15"/>
          <w:szCs w:val="15"/>
          <w:lang w:bidi="ar"/>
        </w:rPr>
      </w:pPr>
      <w:r>
        <w:rPr>
          <w:rFonts w:hint="eastAsia" w:ascii="宋体" w:hAnsi="宋体"/>
          <w:color w:val="FF0000"/>
          <w:sz w:val="15"/>
          <w:szCs w:val="15"/>
          <w:lang w:bidi="ar"/>
        </w:rPr>
        <w:t>（2）具备类似软件开发相关工作经验2年及以上。</w:t>
      </w:r>
    </w:p>
    <w:p w14:paraId="39995C13">
      <w:pPr>
        <w:pStyle w:val="2"/>
        <w:spacing w:line="240" w:lineRule="auto"/>
        <w:ind w:firstLine="300"/>
        <w:rPr>
          <w:rFonts w:hint="eastAsia"/>
          <w:sz w:val="15"/>
          <w:szCs w:val="15"/>
          <w:lang w:bidi="ar"/>
        </w:rPr>
      </w:pPr>
      <w:r>
        <w:rPr>
          <w:rFonts w:hint="eastAsia"/>
          <w:sz w:val="15"/>
          <w:szCs w:val="15"/>
          <w:lang w:bidi="ar"/>
        </w:rPr>
        <w:t>以上需提供证明材料包括：</w:t>
      </w:r>
    </w:p>
    <w:p w14:paraId="4B6E142D">
      <w:pPr>
        <w:pStyle w:val="2"/>
        <w:spacing w:line="240" w:lineRule="auto"/>
        <w:ind w:firstLine="300"/>
        <w:rPr>
          <w:rFonts w:hint="eastAsia"/>
          <w:sz w:val="15"/>
          <w:szCs w:val="15"/>
          <w:lang w:bidi="ar"/>
        </w:rPr>
      </w:pPr>
      <w:r>
        <w:rPr>
          <w:rFonts w:hint="eastAsia"/>
          <w:sz w:val="15"/>
          <w:szCs w:val="15"/>
          <w:lang w:bidi="ar"/>
        </w:rPr>
        <w:t>1、以上人员需提供有效的身份证正反面扫描件、简历、学历证明文件（毕业证或学位证或学信网截图）、资格证书扫描件。</w:t>
      </w:r>
    </w:p>
    <w:p w14:paraId="5908E2EE">
      <w:pPr>
        <w:pStyle w:val="2"/>
        <w:spacing w:line="240" w:lineRule="auto"/>
        <w:ind w:firstLine="300"/>
        <w:rPr>
          <w:rFonts w:hint="eastAsia"/>
          <w:sz w:val="15"/>
          <w:szCs w:val="15"/>
          <w:lang w:bidi="ar"/>
        </w:rPr>
      </w:pPr>
      <w:r>
        <w:rPr>
          <w:rFonts w:hint="eastAsia"/>
          <w:sz w:val="15"/>
          <w:szCs w:val="15"/>
          <w:lang w:bidi="ar"/>
        </w:rPr>
        <w:t>2、提供相关证书扫描件的，原件备查；提供相关证书的网站查询截图时，截图中必须包括相关查询网页的地址栏；</w:t>
      </w:r>
    </w:p>
    <w:p w14:paraId="44F6A378">
      <w:pPr>
        <w:pStyle w:val="2"/>
        <w:spacing w:line="240" w:lineRule="auto"/>
        <w:ind w:firstLine="300"/>
        <w:textAlignment w:val="baseline"/>
        <w:rPr>
          <w:rFonts w:hint="eastAsia"/>
          <w:sz w:val="15"/>
          <w:szCs w:val="15"/>
          <w:lang w:bidi="ar"/>
        </w:rPr>
      </w:pPr>
      <w:r>
        <w:rPr>
          <w:rFonts w:hint="eastAsia"/>
          <w:sz w:val="15"/>
          <w:szCs w:val="15"/>
          <w:lang w:bidi="ar"/>
        </w:rPr>
        <w:t>3、团队成员社保须由投标人缴纳，</w:t>
      </w:r>
      <w:r>
        <w:rPr>
          <w:rFonts w:hint="eastAsia"/>
          <w:color w:val="FF0000"/>
          <w:sz w:val="15"/>
          <w:szCs w:val="15"/>
          <w:lang w:bidi="ar"/>
        </w:rPr>
        <w:t>提供</w:t>
      </w:r>
      <w:r>
        <w:rPr>
          <w:rFonts w:hint="eastAsia" w:hAnsi="宋体"/>
          <w:color w:val="FF0000"/>
          <w:sz w:val="15"/>
          <w:szCs w:val="15"/>
        </w:rPr>
        <w:t>自2024年1月1日</w:t>
      </w:r>
      <w:r>
        <w:rPr>
          <w:rFonts w:hint="eastAsia"/>
          <w:sz w:val="15"/>
          <w:szCs w:val="15"/>
          <w:lang w:bidi="ar"/>
        </w:rPr>
        <w:t>至应答截止时间止，任意连续3个月的由社保机构盖章的社保缴纳证明（若非应答人本单位或分公司缴纳，还需提供应答人与第三方缴纳社保服务机构签订的合同或协议），如未提供或提供资料无法证明该员工为应答人本单位人员，视为该人员非应答人本单位员工。（退休返聘无法提供社保的，提供退休证及返聘合同）。</w:t>
      </w:r>
    </w:p>
    <w:p w14:paraId="44EA18B9">
      <w:pPr>
        <w:pStyle w:val="2"/>
        <w:spacing w:line="240" w:lineRule="auto"/>
        <w:ind w:firstLine="300"/>
        <w:textAlignment w:val="baseline"/>
        <w:rPr>
          <w:rFonts w:hint="eastAsia"/>
          <w:sz w:val="15"/>
          <w:szCs w:val="15"/>
          <w:lang w:bidi="ar"/>
        </w:rPr>
      </w:pPr>
      <w:r>
        <w:rPr>
          <w:rFonts w:hint="eastAsia" w:hAnsi="宋体"/>
          <w:color w:val="FF0000"/>
          <w:sz w:val="15"/>
          <w:szCs w:val="15"/>
        </w:rPr>
        <w:t>4、工作经验以简历描述为准。</w:t>
      </w:r>
    </w:p>
    <w:p w14:paraId="63C33AC9">
      <w:pPr>
        <w:adjustRightInd w:val="0"/>
        <w:spacing w:before="0" w:after="0" w:line="240" w:lineRule="auto"/>
        <w:ind w:firstLine="124" w:firstLineChars="83"/>
        <w:rPr>
          <w:rFonts w:hint="eastAsia" w:ascii="宋体" w:hAnsi="宋体"/>
          <w:sz w:val="15"/>
          <w:szCs w:val="15"/>
        </w:rPr>
      </w:pPr>
      <w:r>
        <w:rPr>
          <w:rFonts w:hint="eastAsia" w:ascii="宋体" w:hAnsi="宋体"/>
          <w:sz w:val="15"/>
          <w:szCs w:val="15"/>
          <w:lang w:bidi="ar"/>
        </w:rPr>
        <w:t>根据上述要求，本项目拟提供的项目团队人员（含项目经理）清单：</w:t>
      </w:r>
    </w:p>
    <w:tbl>
      <w:tblPr>
        <w:tblStyle w:val="22"/>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3"/>
        <w:gridCol w:w="1478"/>
        <w:gridCol w:w="1133"/>
        <w:gridCol w:w="1133"/>
        <w:gridCol w:w="774"/>
        <w:gridCol w:w="1837"/>
        <w:gridCol w:w="1284"/>
        <w:gridCol w:w="1284"/>
      </w:tblGrid>
      <w:tr w14:paraId="2F7E7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568" w:type="pct"/>
            <w:tcBorders>
              <w:top w:val="single" w:color="auto" w:sz="4" w:space="0"/>
              <w:left w:val="single" w:color="auto" w:sz="4" w:space="0"/>
              <w:bottom w:val="single" w:color="auto" w:sz="4" w:space="0"/>
              <w:right w:val="single" w:color="auto" w:sz="4" w:space="0"/>
            </w:tcBorders>
            <w:shd w:val="clear" w:color="auto" w:fill="C0C0C0"/>
            <w:vAlign w:val="center"/>
          </w:tcPr>
          <w:p w14:paraId="53B31918">
            <w:pPr>
              <w:spacing w:before="0" w:after="0" w:line="240" w:lineRule="auto"/>
              <w:ind w:right="-143" w:rightChars="-51" w:firstLine="0"/>
              <w:jc w:val="center"/>
              <w:rPr>
                <w:rFonts w:hint="eastAsia" w:ascii="宋体" w:hAnsi="宋体" w:cs="宋体"/>
                <w:b/>
                <w:sz w:val="15"/>
                <w:szCs w:val="15"/>
              </w:rPr>
            </w:pPr>
            <w:r>
              <w:rPr>
                <w:rFonts w:hint="eastAsia" w:ascii="宋体" w:hAnsi="宋体" w:cs="宋体"/>
                <w:b/>
                <w:sz w:val="15"/>
                <w:szCs w:val="15"/>
                <w:lang w:bidi="ar"/>
              </w:rPr>
              <w:t>姓名</w:t>
            </w:r>
          </w:p>
        </w:tc>
        <w:tc>
          <w:tcPr>
            <w:tcW w:w="732" w:type="pct"/>
            <w:tcBorders>
              <w:top w:val="single" w:color="auto" w:sz="4" w:space="0"/>
              <w:left w:val="nil"/>
              <w:bottom w:val="single" w:color="auto" w:sz="4" w:space="0"/>
              <w:right w:val="single" w:color="auto" w:sz="4" w:space="0"/>
            </w:tcBorders>
            <w:shd w:val="clear" w:color="auto" w:fill="C0C0C0"/>
            <w:vAlign w:val="center"/>
          </w:tcPr>
          <w:p w14:paraId="18D69306">
            <w:pPr>
              <w:spacing w:before="0" w:after="0" w:line="240" w:lineRule="auto"/>
              <w:ind w:firstLine="0"/>
              <w:jc w:val="center"/>
              <w:rPr>
                <w:rFonts w:hint="eastAsia" w:ascii="宋体" w:hAnsi="宋体" w:cs="宋体"/>
                <w:b/>
                <w:sz w:val="15"/>
                <w:szCs w:val="15"/>
              </w:rPr>
            </w:pPr>
            <w:r>
              <w:rPr>
                <w:rFonts w:hint="eastAsia" w:ascii="宋体" w:hAnsi="宋体" w:cs="宋体"/>
                <w:b/>
                <w:sz w:val="15"/>
                <w:szCs w:val="15"/>
                <w:lang w:bidi="ar"/>
              </w:rPr>
              <w:t>身份证号码</w:t>
            </w:r>
          </w:p>
        </w:tc>
        <w:tc>
          <w:tcPr>
            <w:tcW w:w="563" w:type="pct"/>
            <w:tcBorders>
              <w:top w:val="single" w:color="auto" w:sz="4" w:space="0"/>
              <w:left w:val="nil"/>
              <w:bottom w:val="single" w:color="auto" w:sz="4" w:space="0"/>
              <w:right w:val="single" w:color="auto" w:sz="4" w:space="0"/>
            </w:tcBorders>
            <w:shd w:val="clear" w:color="auto" w:fill="C0C0C0"/>
            <w:vAlign w:val="center"/>
          </w:tcPr>
          <w:p w14:paraId="7AD316D5">
            <w:pPr>
              <w:spacing w:before="0" w:after="0" w:line="240" w:lineRule="auto"/>
              <w:ind w:firstLine="0"/>
              <w:jc w:val="center"/>
              <w:rPr>
                <w:rFonts w:hint="eastAsia" w:ascii="宋体" w:hAnsi="宋体" w:cs="宋体"/>
                <w:b/>
                <w:sz w:val="15"/>
                <w:szCs w:val="15"/>
              </w:rPr>
            </w:pPr>
            <w:r>
              <w:rPr>
                <w:rFonts w:hint="eastAsia" w:ascii="宋体" w:hAnsi="宋体" w:cs="宋体"/>
                <w:b/>
                <w:sz w:val="15"/>
                <w:szCs w:val="15"/>
                <w:lang w:bidi="ar"/>
              </w:rPr>
              <w:t>本项目中职责</w:t>
            </w:r>
          </w:p>
        </w:tc>
        <w:tc>
          <w:tcPr>
            <w:tcW w:w="563" w:type="pct"/>
            <w:tcBorders>
              <w:top w:val="single" w:color="auto" w:sz="4" w:space="0"/>
              <w:left w:val="nil"/>
              <w:bottom w:val="single" w:color="auto" w:sz="4" w:space="0"/>
              <w:right w:val="single" w:color="auto" w:sz="4" w:space="0"/>
            </w:tcBorders>
            <w:shd w:val="clear" w:color="auto" w:fill="C0C0C0"/>
            <w:vAlign w:val="center"/>
          </w:tcPr>
          <w:p w14:paraId="0F1FD86D">
            <w:pPr>
              <w:spacing w:before="0" w:after="0" w:line="240" w:lineRule="auto"/>
              <w:ind w:firstLine="0"/>
              <w:jc w:val="center"/>
              <w:rPr>
                <w:rFonts w:hint="eastAsia" w:ascii="宋体" w:hAnsi="宋体" w:cs="宋体"/>
                <w:b/>
                <w:sz w:val="15"/>
                <w:szCs w:val="15"/>
              </w:rPr>
            </w:pPr>
            <w:r>
              <w:rPr>
                <w:rFonts w:hint="eastAsia" w:ascii="宋体" w:hAnsi="宋体" w:cs="宋体"/>
                <w:b/>
                <w:sz w:val="15"/>
                <w:szCs w:val="15"/>
                <w:lang w:bidi="ar"/>
              </w:rPr>
              <w:t>职称/证书</w:t>
            </w:r>
          </w:p>
        </w:tc>
        <w:tc>
          <w:tcPr>
            <w:tcW w:w="387" w:type="pct"/>
            <w:tcBorders>
              <w:top w:val="single" w:color="auto" w:sz="4" w:space="0"/>
              <w:left w:val="nil"/>
              <w:bottom w:val="single" w:color="auto" w:sz="4" w:space="0"/>
              <w:right w:val="single" w:color="auto" w:sz="4" w:space="0"/>
            </w:tcBorders>
            <w:shd w:val="clear" w:color="auto" w:fill="C0C0C0"/>
            <w:vAlign w:val="center"/>
          </w:tcPr>
          <w:p w14:paraId="53BE8891">
            <w:pPr>
              <w:spacing w:before="0" w:after="0" w:line="240" w:lineRule="auto"/>
              <w:ind w:firstLine="0"/>
              <w:jc w:val="center"/>
              <w:rPr>
                <w:rFonts w:hint="eastAsia" w:ascii="宋体" w:hAnsi="宋体" w:cs="宋体"/>
                <w:b/>
                <w:sz w:val="15"/>
                <w:szCs w:val="15"/>
              </w:rPr>
            </w:pPr>
            <w:r>
              <w:rPr>
                <w:rFonts w:hint="eastAsia" w:ascii="宋体" w:hAnsi="宋体" w:cs="宋体"/>
                <w:b/>
                <w:sz w:val="15"/>
                <w:szCs w:val="15"/>
                <w:lang w:bidi="ar"/>
              </w:rPr>
              <w:t>学历</w:t>
            </w:r>
          </w:p>
        </w:tc>
        <w:tc>
          <w:tcPr>
            <w:tcW w:w="908" w:type="pct"/>
            <w:tcBorders>
              <w:top w:val="single" w:color="auto" w:sz="4" w:space="0"/>
              <w:left w:val="nil"/>
              <w:bottom w:val="single" w:color="auto" w:sz="4" w:space="0"/>
              <w:right w:val="single" w:color="auto" w:sz="4" w:space="0"/>
            </w:tcBorders>
            <w:shd w:val="clear" w:color="auto" w:fill="C0C0C0"/>
            <w:vAlign w:val="center"/>
          </w:tcPr>
          <w:p w14:paraId="4F89FAA4">
            <w:pPr>
              <w:spacing w:before="0" w:after="0" w:line="240" w:lineRule="auto"/>
              <w:ind w:firstLine="0"/>
              <w:jc w:val="center"/>
              <w:rPr>
                <w:rFonts w:hint="eastAsia" w:ascii="宋体" w:hAnsi="宋体" w:cs="宋体"/>
                <w:b/>
                <w:sz w:val="15"/>
                <w:szCs w:val="15"/>
              </w:rPr>
            </w:pPr>
            <w:r>
              <w:rPr>
                <w:rFonts w:hint="eastAsia" w:ascii="宋体" w:hAnsi="宋体" w:cs="宋体"/>
                <w:b/>
                <w:sz w:val="15"/>
                <w:szCs w:val="15"/>
                <w:lang w:bidi="ar"/>
              </w:rPr>
              <w:t>类似项目工作经验年限</w:t>
            </w:r>
          </w:p>
        </w:tc>
        <w:tc>
          <w:tcPr>
            <w:tcW w:w="637" w:type="pct"/>
            <w:tcBorders>
              <w:top w:val="single" w:color="auto" w:sz="4" w:space="0"/>
              <w:left w:val="nil"/>
              <w:bottom w:val="single" w:color="auto" w:sz="4" w:space="0"/>
              <w:right w:val="single" w:color="auto" w:sz="4" w:space="0"/>
            </w:tcBorders>
            <w:shd w:val="clear" w:color="auto" w:fill="C0C0C0"/>
            <w:vAlign w:val="center"/>
          </w:tcPr>
          <w:p w14:paraId="7B6148DB">
            <w:pPr>
              <w:spacing w:before="0" w:after="0" w:line="240" w:lineRule="auto"/>
              <w:ind w:firstLine="0"/>
              <w:jc w:val="center"/>
              <w:rPr>
                <w:rFonts w:hint="eastAsia" w:ascii="宋体" w:hAnsi="宋体" w:cs="宋体"/>
                <w:b/>
                <w:sz w:val="15"/>
                <w:szCs w:val="15"/>
              </w:rPr>
            </w:pPr>
            <w:r>
              <w:rPr>
                <w:rFonts w:hint="eastAsia" w:ascii="宋体" w:hAnsi="宋体" w:cs="宋体"/>
                <w:b/>
                <w:sz w:val="15"/>
                <w:szCs w:val="15"/>
                <w:lang w:bidi="ar"/>
              </w:rPr>
              <w:t>主要资历、经验及承担过的项目</w:t>
            </w:r>
          </w:p>
        </w:tc>
        <w:tc>
          <w:tcPr>
            <w:tcW w:w="637" w:type="pct"/>
            <w:tcBorders>
              <w:top w:val="single" w:color="auto" w:sz="4" w:space="0"/>
              <w:left w:val="nil"/>
              <w:bottom w:val="single" w:color="auto" w:sz="4" w:space="0"/>
              <w:right w:val="single" w:color="auto" w:sz="4" w:space="0"/>
            </w:tcBorders>
            <w:shd w:val="clear" w:color="auto" w:fill="C0C0C0"/>
            <w:vAlign w:val="center"/>
          </w:tcPr>
          <w:p w14:paraId="5E34ED3F">
            <w:pPr>
              <w:spacing w:before="0" w:after="0" w:line="240" w:lineRule="auto"/>
              <w:ind w:firstLine="0"/>
              <w:jc w:val="center"/>
              <w:rPr>
                <w:rFonts w:hint="eastAsia" w:ascii="宋体" w:hAnsi="宋体" w:cs="宋体"/>
                <w:bCs/>
                <w:sz w:val="15"/>
                <w:szCs w:val="15"/>
              </w:rPr>
            </w:pPr>
            <w:r>
              <w:rPr>
                <w:rFonts w:hint="eastAsia" w:ascii="宋体" w:hAnsi="宋体" w:cs="宋体"/>
                <w:bCs/>
                <w:sz w:val="15"/>
                <w:szCs w:val="15"/>
                <w:lang w:bidi="ar"/>
              </w:rPr>
              <w:t>......</w:t>
            </w:r>
          </w:p>
        </w:tc>
      </w:tr>
      <w:tr w14:paraId="67BAC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568" w:type="pct"/>
            <w:tcBorders>
              <w:top w:val="single" w:color="auto" w:sz="4" w:space="0"/>
              <w:left w:val="single" w:color="auto" w:sz="4" w:space="0"/>
              <w:bottom w:val="single" w:color="auto" w:sz="4" w:space="0"/>
              <w:right w:val="single" w:color="auto" w:sz="4" w:space="0"/>
            </w:tcBorders>
            <w:shd w:val="clear" w:color="auto" w:fill="auto"/>
            <w:vAlign w:val="center"/>
          </w:tcPr>
          <w:p w14:paraId="215F8A3E">
            <w:pPr>
              <w:spacing w:before="0" w:after="0" w:line="240" w:lineRule="auto"/>
              <w:ind w:right="-143" w:rightChars="-51" w:firstLine="300"/>
              <w:jc w:val="center"/>
              <w:rPr>
                <w:rFonts w:hint="eastAsia" w:ascii="宋体" w:hAnsi="宋体" w:cs="宋体"/>
                <w:bCs/>
                <w:sz w:val="15"/>
                <w:szCs w:val="15"/>
              </w:rPr>
            </w:pPr>
          </w:p>
        </w:tc>
        <w:tc>
          <w:tcPr>
            <w:tcW w:w="732" w:type="pct"/>
            <w:tcBorders>
              <w:top w:val="single" w:color="auto" w:sz="4" w:space="0"/>
              <w:left w:val="nil"/>
              <w:bottom w:val="single" w:color="auto" w:sz="4" w:space="0"/>
              <w:right w:val="single" w:color="auto" w:sz="4" w:space="0"/>
            </w:tcBorders>
            <w:shd w:val="clear" w:color="auto" w:fill="auto"/>
            <w:vAlign w:val="center"/>
          </w:tcPr>
          <w:p w14:paraId="6947228B">
            <w:pPr>
              <w:spacing w:before="0" w:after="0" w:line="240" w:lineRule="auto"/>
              <w:ind w:firstLine="300"/>
              <w:rPr>
                <w:rFonts w:hint="eastAsia" w:ascii="宋体" w:hAnsi="宋体" w:cs="宋体"/>
                <w:bCs/>
                <w:sz w:val="15"/>
                <w:szCs w:val="15"/>
              </w:rPr>
            </w:pPr>
          </w:p>
        </w:tc>
        <w:tc>
          <w:tcPr>
            <w:tcW w:w="563" w:type="pct"/>
            <w:tcBorders>
              <w:top w:val="single" w:color="auto" w:sz="4" w:space="0"/>
              <w:left w:val="nil"/>
              <w:bottom w:val="single" w:color="auto" w:sz="4" w:space="0"/>
              <w:right w:val="single" w:color="auto" w:sz="4" w:space="0"/>
            </w:tcBorders>
            <w:shd w:val="clear" w:color="auto" w:fill="auto"/>
            <w:vAlign w:val="center"/>
          </w:tcPr>
          <w:p w14:paraId="69052D46">
            <w:pPr>
              <w:spacing w:before="0" w:after="0" w:line="240" w:lineRule="auto"/>
              <w:ind w:firstLine="150" w:firstLineChars="100"/>
              <w:rPr>
                <w:rFonts w:hint="eastAsia" w:ascii="宋体" w:hAnsi="宋体" w:cs="宋体"/>
                <w:bCs/>
                <w:sz w:val="15"/>
                <w:szCs w:val="15"/>
              </w:rPr>
            </w:pPr>
            <w:r>
              <w:rPr>
                <w:rFonts w:hint="eastAsia" w:ascii="宋体" w:hAnsi="宋体" w:cs="宋体"/>
                <w:bCs/>
                <w:sz w:val="15"/>
                <w:szCs w:val="15"/>
                <w:lang w:bidi="ar"/>
              </w:rPr>
              <w:t>项目经理</w:t>
            </w:r>
          </w:p>
        </w:tc>
        <w:tc>
          <w:tcPr>
            <w:tcW w:w="563" w:type="pct"/>
            <w:tcBorders>
              <w:top w:val="single" w:color="auto" w:sz="4" w:space="0"/>
              <w:left w:val="nil"/>
              <w:bottom w:val="single" w:color="auto" w:sz="4" w:space="0"/>
              <w:right w:val="single" w:color="auto" w:sz="4" w:space="0"/>
            </w:tcBorders>
            <w:shd w:val="clear" w:color="auto" w:fill="auto"/>
            <w:vAlign w:val="center"/>
          </w:tcPr>
          <w:p w14:paraId="06A6BD29">
            <w:pPr>
              <w:spacing w:before="0" w:after="0" w:line="240" w:lineRule="auto"/>
              <w:ind w:firstLine="300"/>
              <w:jc w:val="center"/>
              <w:rPr>
                <w:rFonts w:hint="eastAsia" w:ascii="宋体" w:hAnsi="宋体" w:cs="宋体"/>
                <w:bCs/>
                <w:sz w:val="15"/>
                <w:szCs w:val="15"/>
              </w:rPr>
            </w:pPr>
          </w:p>
        </w:tc>
        <w:tc>
          <w:tcPr>
            <w:tcW w:w="387" w:type="pct"/>
            <w:tcBorders>
              <w:top w:val="single" w:color="auto" w:sz="4" w:space="0"/>
              <w:left w:val="nil"/>
              <w:bottom w:val="single" w:color="auto" w:sz="4" w:space="0"/>
              <w:right w:val="single" w:color="auto" w:sz="4" w:space="0"/>
            </w:tcBorders>
            <w:shd w:val="clear" w:color="auto" w:fill="auto"/>
            <w:vAlign w:val="center"/>
          </w:tcPr>
          <w:p w14:paraId="45B3827F">
            <w:pPr>
              <w:spacing w:before="0" w:after="0" w:line="240" w:lineRule="auto"/>
              <w:ind w:firstLine="300"/>
              <w:jc w:val="center"/>
              <w:rPr>
                <w:rFonts w:hint="eastAsia" w:ascii="宋体" w:hAnsi="宋体" w:cs="宋体"/>
                <w:bCs/>
                <w:sz w:val="15"/>
                <w:szCs w:val="15"/>
              </w:rPr>
            </w:pPr>
          </w:p>
        </w:tc>
        <w:tc>
          <w:tcPr>
            <w:tcW w:w="908" w:type="pct"/>
            <w:tcBorders>
              <w:top w:val="single" w:color="auto" w:sz="4" w:space="0"/>
              <w:left w:val="nil"/>
              <w:bottom w:val="single" w:color="auto" w:sz="4" w:space="0"/>
              <w:right w:val="single" w:color="auto" w:sz="4" w:space="0"/>
            </w:tcBorders>
            <w:shd w:val="clear" w:color="auto" w:fill="auto"/>
            <w:vAlign w:val="center"/>
          </w:tcPr>
          <w:p w14:paraId="12A2093F">
            <w:pPr>
              <w:spacing w:before="0" w:after="0" w:line="240" w:lineRule="auto"/>
              <w:ind w:firstLine="300"/>
              <w:jc w:val="center"/>
              <w:rPr>
                <w:rFonts w:hint="eastAsia" w:ascii="宋体" w:hAnsi="宋体" w:cs="宋体"/>
                <w:bCs/>
                <w:sz w:val="15"/>
                <w:szCs w:val="15"/>
              </w:rPr>
            </w:pPr>
          </w:p>
        </w:tc>
        <w:tc>
          <w:tcPr>
            <w:tcW w:w="637" w:type="pct"/>
            <w:tcBorders>
              <w:top w:val="single" w:color="auto" w:sz="4" w:space="0"/>
              <w:left w:val="nil"/>
              <w:bottom w:val="single" w:color="auto" w:sz="4" w:space="0"/>
              <w:right w:val="single" w:color="auto" w:sz="4" w:space="0"/>
            </w:tcBorders>
            <w:shd w:val="clear" w:color="auto" w:fill="auto"/>
            <w:vAlign w:val="center"/>
          </w:tcPr>
          <w:p w14:paraId="6D4977D2">
            <w:pPr>
              <w:spacing w:before="0" w:after="0" w:line="240" w:lineRule="auto"/>
              <w:ind w:firstLine="300"/>
              <w:jc w:val="center"/>
              <w:rPr>
                <w:rFonts w:hint="eastAsia" w:ascii="宋体" w:hAnsi="宋体" w:cs="宋体"/>
                <w:bCs/>
                <w:sz w:val="15"/>
                <w:szCs w:val="15"/>
              </w:rPr>
            </w:pPr>
          </w:p>
        </w:tc>
        <w:tc>
          <w:tcPr>
            <w:tcW w:w="637" w:type="pct"/>
            <w:tcBorders>
              <w:top w:val="single" w:color="auto" w:sz="4" w:space="0"/>
              <w:left w:val="nil"/>
              <w:bottom w:val="single" w:color="auto" w:sz="4" w:space="0"/>
              <w:right w:val="single" w:color="auto" w:sz="4" w:space="0"/>
            </w:tcBorders>
            <w:shd w:val="clear" w:color="auto" w:fill="auto"/>
            <w:vAlign w:val="center"/>
          </w:tcPr>
          <w:p w14:paraId="3686AD7F">
            <w:pPr>
              <w:spacing w:before="0" w:after="0" w:line="240" w:lineRule="auto"/>
              <w:ind w:firstLine="300"/>
              <w:jc w:val="center"/>
              <w:rPr>
                <w:rFonts w:hint="eastAsia" w:ascii="宋体" w:hAnsi="宋体" w:cs="宋体"/>
                <w:bCs/>
                <w:sz w:val="15"/>
                <w:szCs w:val="15"/>
              </w:rPr>
            </w:pPr>
          </w:p>
        </w:tc>
      </w:tr>
      <w:tr w14:paraId="7185B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568" w:type="pct"/>
            <w:tcBorders>
              <w:top w:val="single" w:color="auto" w:sz="4" w:space="0"/>
              <w:left w:val="single" w:color="auto" w:sz="4" w:space="0"/>
              <w:bottom w:val="single" w:color="auto" w:sz="4" w:space="0"/>
              <w:right w:val="single" w:color="auto" w:sz="4" w:space="0"/>
            </w:tcBorders>
            <w:shd w:val="clear" w:color="auto" w:fill="auto"/>
            <w:vAlign w:val="center"/>
          </w:tcPr>
          <w:p w14:paraId="031F496D">
            <w:pPr>
              <w:spacing w:before="0" w:after="0" w:line="240" w:lineRule="auto"/>
              <w:ind w:right="-143" w:rightChars="-51" w:firstLine="300"/>
              <w:jc w:val="center"/>
              <w:rPr>
                <w:rFonts w:hint="eastAsia" w:ascii="宋体" w:hAnsi="宋体" w:cs="宋体"/>
                <w:bCs/>
                <w:sz w:val="15"/>
                <w:szCs w:val="15"/>
              </w:rPr>
            </w:pPr>
          </w:p>
        </w:tc>
        <w:tc>
          <w:tcPr>
            <w:tcW w:w="732" w:type="pct"/>
            <w:tcBorders>
              <w:top w:val="single" w:color="auto" w:sz="4" w:space="0"/>
              <w:left w:val="nil"/>
              <w:bottom w:val="single" w:color="auto" w:sz="4" w:space="0"/>
              <w:right w:val="single" w:color="auto" w:sz="4" w:space="0"/>
            </w:tcBorders>
            <w:shd w:val="clear" w:color="auto" w:fill="auto"/>
            <w:vAlign w:val="center"/>
          </w:tcPr>
          <w:p w14:paraId="625086BB">
            <w:pPr>
              <w:spacing w:before="0" w:after="0" w:line="240" w:lineRule="auto"/>
              <w:ind w:firstLine="0"/>
              <w:jc w:val="center"/>
              <w:rPr>
                <w:rFonts w:hint="eastAsia" w:ascii="宋体" w:hAnsi="宋体" w:cs="宋体"/>
                <w:bCs/>
                <w:sz w:val="15"/>
                <w:szCs w:val="15"/>
              </w:rPr>
            </w:pPr>
          </w:p>
        </w:tc>
        <w:tc>
          <w:tcPr>
            <w:tcW w:w="563" w:type="pct"/>
            <w:tcBorders>
              <w:top w:val="single" w:color="auto" w:sz="4" w:space="0"/>
              <w:left w:val="nil"/>
              <w:bottom w:val="single" w:color="auto" w:sz="4" w:space="0"/>
              <w:right w:val="single" w:color="auto" w:sz="4" w:space="0"/>
            </w:tcBorders>
            <w:shd w:val="clear" w:color="auto" w:fill="auto"/>
            <w:vAlign w:val="center"/>
          </w:tcPr>
          <w:p w14:paraId="464D8D40">
            <w:pPr>
              <w:spacing w:before="0" w:after="0" w:line="240" w:lineRule="auto"/>
              <w:ind w:firstLine="0"/>
              <w:jc w:val="center"/>
              <w:rPr>
                <w:rFonts w:hint="eastAsia" w:ascii="宋体" w:hAnsi="宋体" w:cs="宋体"/>
                <w:bCs/>
                <w:sz w:val="15"/>
                <w:szCs w:val="15"/>
              </w:rPr>
            </w:pPr>
            <w:r>
              <w:rPr>
                <w:rFonts w:hint="eastAsia" w:ascii="宋体" w:hAnsi="宋体" w:cs="宋体"/>
                <w:bCs/>
                <w:sz w:val="15"/>
                <w:szCs w:val="15"/>
              </w:rPr>
              <w:t>需求分析人员</w:t>
            </w:r>
          </w:p>
        </w:tc>
        <w:tc>
          <w:tcPr>
            <w:tcW w:w="563" w:type="pct"/>
            <w:tcBorders>
              <w:top w:val="single" w:color="auto" w:sz="4" w:space="0"/>
              <w:left w:val="nil"/>
              <w:bottom w:val="single" w:color="auto" w:sz="4" w:space="0"/>
              <w:right w:val="single" w:color="auto" w:sz="4" w:space="0"/>
            </w:tcBorders>
            <w:shd w:val="clear" w:color="auto" w:fill="auto"/>
            <w:vAlign w:val="center"/>
          </w:tcPr>
          <w:p w14:paraId="2830AE83">
            <w:pPr>
              <w:spacing w:before="0" w:after="0" w:line="240" w:lineRule="auto"/>
              <w:ind w:firstLine="300"/>
              <w:jc w:val="center"/>
              <w:rPr>
                <w:rFonts w:hint="eastAsia" w:ascii="宋体" w:hAnsi="宋体" w:cs="宋体"/>
                <w:bCs/>
                <w:sz w:val="15"/>
                <w:szCs w:val="15"/>
              </w:rPr>
            </w:pPr>
          </w:p>
        </w:tc>
        <w:tc>
          <w:tcPr>
            <w:tcW w:w="387" w:type="pct"/>
            <w:tcBorders>
              <w:top w:val="single" w:color="auto" w:sz="4" w:space="0"/>
              <w:left w:val="nil"/>
              <w:bottom w:val="single" w:color="auto" w:sz="4" w:space="0"/>
              <w:right w:val="single" w:color="auto" w:sz="4" w:space="0"/>
            </w:tcBorders>
            <w:shd w:val="clear" w:color="auto" w:fill="auto"/>
            <w:vAlign w:val="center"/>
          </w:tcPr>
          <w:p w14:paraId="6EA39E65">
            <w:pPr>
              <w:spacing w:before="0" w:after="0" w:line="240" w:lineRule="auto"/>
              <w:ind w:firstLine="300"/>
              <w:jc w:val="center"/>
              <w:rPr>
                <w:rFonts w:hint="eastAsia" w:ascii="宋体" w:hAnsi="宋体" w:cs="宋体"/>
                <w:bCs/>
                <w:sz w:val="15"/>
                <w:szCs w:val="15"/>
              </w:rPr>
            </w:pPr>
          </w:p>
        </w:tc>
        <w:tc>
          <w:tcPr>
            <w:tcW w:w="908" w:type="pct"/>
            <w:tcBorders>
              <w:top w:val="single" w:color="auto" w:sz="4" w:space="0"/>
              <w:left w:val="nil"/>
              <w:bottom w:val="single" w:color="auto" w:sz="4" w:space="0"/>
              <w:right w:val="single" w:color="auto" w:sz="4" w:space="0"/>
            </w:tcBorders>
            <w:shd w:val="clear" w:color="auto" w:fill="auto"/>
            <w:vAlign w:val="center"/>
          </w:tcPr>
          <w:p w14:paraId="16007B7C">
            <w:pPr>
              <w:spacing w:before="0" w:after="0" w:line="240" w:lineRule="auto"/>
              <w:ind w:firstLine="300"/>
              <w:jc w:val="center"/>
              <w:rPr>
                <w:rFonts w:hint="eastAsia" w:ascii="宋体" w:hAnsi="宋体" w:cs="宋体"/>
                <w:bCs/>
                <w:sz w:val="15"/>
                <w:szCs w:val="15"/>
              </w:rPr>
            </w:pPr>
          </w:p>
        </w:tc>
        <w:tc>
          <w:tcPr>
            <w:tcW w:w="637" w:type="pct"/>
            <w:tcBorders>
              <w:top w:val="single" w:color="auto" w:sz="4" w:space="0"/>
              <w:left w:val="nil"/>
              <w:bottom w:val="single" w:color="auto" w:sz="4" w:space="0"/>
              <w:right w:val="single" w:color="auto" w:sz="4" w:space="0"/>
            </w:tcBorders>
            <w:shd w:val="clear" w:color="auto" w:fill="auto"/>
            <w:vAlign w:val="center"/>
          </w:tcPr>
          <w:p w14:paraId="2B8E0204">
            <w:pPr>
              <w:spacing w:before="0" w:after="0" w:line="240" w:lineRule="auto"/>
              <w:ind w:firstLine="300"/>
              <w:jc w:val="center"/>
              <w:rPr>
                <w:rFonts w:hint="eastAsia" w:ascii="宋体" w:hAnsi="宋体" w:cs="宋体"/>
                <w:bCs/>
                <w:sz w:val="15"/>
                <w:szCs w:val="15"/>
              </w:rPr>
            </w:pPr>
          </w:p>
        </w:tc>
        <w:tc>
          <w:tcPr>
            <w:tcW w:w="637" w:type="pct"/>
            <w:tcBorders>
              <w:top w:val="single" w:color="auto" w:sz="4" w:space="0"/>
              <w:left w:val="nil"/>
              <w:bottom w:val="single" w:color="auto" w:sz="4" w:space="0"/>
              <w:right w:val="single" w:color="auto" w:sz="4" w:space="0"/>
            </w:tcBorders>
            <w:shd w:val="clear" w:color="auto" w:fill="auto"/>
            <w:vAlign w:val="center"/>
          </w:tcPr>
          <w:p w14:paraId="01F00F40">
            <w:pPr>
              <w:spacing w:before="0" w:after="0" w:line="240" w:lineRule="auto"/>
              <w:ind w:firstLine="300"/>
              <w:jc w:val="center"/>
              <w:rPr>
                <w:rFonts w:hint="eastAsia" w:ascii="宋体" w:hAnsi="宋体" w:cs="宋体"/>
                <w:bCs/>
                <w:sz w:val="15"/>
                <w:szCs w:val="15"/>
              </w:rPr>
            </w:pPr>
          </w:p>
        </w:tc>
      </w:tr>
      <w:tr w14:paraId="7A601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568" w:type="pct"/>
            <w:tcBorders>
              <w:top w:val="single" w:color="auto" w:sz="4" w:space="0"/>
              <w:left w:val="single" w:color="auto" w:sz="4" w:space="0"/>
              <w:bottom w:val="single" w:color="auto" w:sz="4" w:space="0"/>
              <w:right w:val="single" w:color="auto" w:sz="4" w:space="0"/>
            </w:tcBorders>
            <w:shd w:val="clear" w:color="auto" w:fill="auto"/>
            <w:vAlign w:val="center"/>
          </w:tcPr>
          <w:p w14:paraId="32819D9C">
            <w:pPr>
              <w:spacing w:before="0" w:after="0" w:line="240" w:lineRule="auto"/>
              <w:ind w:right="-143" w:rightChars="-51" w:firstLine="300"/>
              <w:jc w:val="center"/>
              <w:rPr>
                <w:rFonts w:hint="eastAsia" w:ascii="宋体" w:hAnsi="宋体" w:cs="宋体"/>
                <w:bCs/>
                <w:sz w:val="15"/>
                <w:szCs w:val="15"/>
              </w:rPr>
            </w:pPr>
          </w:p>
        </w:tc>
        <w:tc>
          <w:tcPr>
            <w:tcW w:w="732" w:type="pct"/>
            <w:tcBorders>
              <w:top w:val="single" w:color="auto" w:sz="4" w:space="0"/>
              <w:left w:val="nil"/>
              <w:bottom w:val="single" w:color="auto" w:sz="4" w:space="0"/>
              <w:right w:val="single" w:color="auto" w:sz="4" w:space="0"/>
            </w:tcBorders>
            <w:shd w:val="clear" w:color="auto" w:fill="auto"/>
            <w:vAlign w:val="center"/>
          </w:tcPr>
          <w:p w14:paraId="31882BD6">
            <w:pPr>
              <w:spacing w:before="0" w:after="0" w:line="240" w:lineRule="auto"/>
              <w:ind w:firstLine="0"/>
              <w:jc w:val="center"/>
              <w:rPr>
                <w:rFonts w:hint="eastAsia" w:ascii="宋体" w:hAnsi="宋体" w:cs="宋体"/>
                <w:bCs/>
                <w:sz w:val="15"/>
                <w:szCs w:val="15"/>
              </w:rPr>
            </w:pPr>
          </w:p>
        </w:tc>
        <w:tc>
          <w:tcPr>
            <w:tcW w:w="563" w:type="pct"/>
            <w:tcBorders>
              <w:top w:val="single" w:color="auto" w:sz="4" w:space="0"/>
              <w:left w:val="nil"/>
              <w:bottom w:val="single" w:color="auto" w:sz="4" w:space="0"/>
              <w:right w:val="single" w:color="auto" w:sz="4" w:space="0"/>
            </w:tcBorders>
            <w:shd w:val="clear" w:color="auto" w:fill="auto"/>
            <w:vAlign w:val="center"/>
          </w:tcPr>
          <w:p w14:paraId="50067321">
            <w:pPr>
              <w:spacing w:before="0" w:after="0" w:line="240" w:lineRule="auto"/>
              <w:ind w:firstLine="0"/>
              <w:jc w:val="center"/>
              <w:rPr>
                <w:rFonts w:hint="eastAsia" w:ascii="宋体" w:hAnsi="宋体" w:cs="宋体"/>
                <w:bCs/>
                <w:sz w:val="15"/>
                <w:szCs w:val="15"/>
              </w:rPr>
            </w:pPr>
            <w:r>
              <w:rPr>
                <w:rFonts w:hint="eastAsia" w:ascii="宋体" w:hAnsi="宋体" w:cs="宋体"/>
                <w:bCs/>
                <w:sz w:val="15"/>
                <w:szCs w:val="15"/>
              </w:rPr>
              <w:t>开发人员</w:t>
            </w:r>
          </w:p>
        </w:tc>
        <w:tc>
          <w:tcPr>
            <w:tcW w:w="563" w:type="pct"/>
            <w:tcBorders>
              <w:top w:val="single" w:color="auto" w:sz="4" w:space="0"/>
              <w:left w:val="nil"/>
              <w:bottom w:val="single" w:color="auto" w:sz="4" w:space="0"/>
              <w:right w:val="single" w:color="auto" w:sz="4" w:space="0"/>
            </w:tcBorders>
            <w:shd w:val="clear" w:color="auto" w:fill="auto"/>
            <w:vAlign w:val="center"/>
          </w:tcPr>
          <w:p w14:paraId="227B9048">
            <w:pPr>
              <w:spacing w:before="0" w:after="0" w:line="240" w:lineRule="auto"/>
              <w:ind w:firstLine="300"/>
              <w:jc w:val="center"/>
              <w:rPr>
                <w:rFonts w:hint="eastAsia" w:ascii="宋体" w:hAnsi="宋体" w:cs="宋体"/>
                <w:bCs/>
                <w:sz w:val="15"/>
                <w:szCs w:val="15"/>
              </w:rPr>
            </w:pPr>
          </w:p>
        </w:tc>
        <w:tc>
          <w:tcPr>
            <w:tcW w:w="387" w:type="pct"/>
            <w:tcBorders>
              <w:top w:val="single" w:color="auto" w:sz="4" w:space="0"/>
              <w:left w:val="nil"/>
              <w:bottom w:val="single" w:color="auto" w:sz="4" w:space="0"/>
              <w:right w:val="single" w:color="auto" w:sz="4" w:space="0"/>
            </w:tcBorders>
            <w:shd w:val="clear" w:color="auto" w:fill="auto"/>
            <w:vAlign w:val="center"/>
          </w:tcPr>
          <w:p w14:paraId="795AE515">
            <w:pPr>
              <w:spacing w:before="0" w:after="0" w:line="240" w:lineRule="auto"/>
              <w:ind w:firstLine="300"/>
              <w:jc w:val="center"/>
              <w:rPr>
                <w:rFonts w:hint="eastAsia" w:ascii="宋体" w:hAnsi="宋体" w:cs="宋体"/>
                <w:bCs/>
                <w:sz w:val="15"/>
                <w:szCs w:val="15"/>
              </w:rPr>
            </w:pPr>
          </w:p>
        </w:tc>
        <w:tc>
          <w:tcPr>
            <w:tcW w:w="908" w:type="pct"/>
            <w:tcBorders>
              <w:top w:val="single" w:color="auto" w:sz="4" w:space="0"/>
              <w:left w:val="nil"/>
              <w:bottom w:val="single" w:color="auto" w:sz="4" w:space="0"/>
              <w:right w:val="single" w:color="auto" w:sz="4" w:space="0"/>
            </w:tcBorders>
            <w:shd w:val="clear" w:color="auto" w:fill="auto"/>
            <w:vAlign w:val="center"/>
          </w:tcPr>
          <w:p w14:paraId="2F13490C">
            <w:pPr>
              <w:spacing w:before="0" w:after="0" w:line="240" w:lineRule="auto"/>
              <w:ind w:firstLine="300"/>
              <w:jc w:val="center"/>
              <w:rPr>
                <w:rFonts w:hint="eastAsia" w:ascii="宋体" w:hAnsi="宋体" w:cs="宋体"/>
                <w:bCs/>
                <w:sz w:val="15"/>
                <w:szCs w:val="15"/>
              </w:rPr>
            </w:pPr>
          </w:p>
        </w:tc>
        <w:tc>
          <w:tcPr>
            <w:tcW w:w="637" w:type="pct"/>
            <w:tcBorders>
              <w:top w:val="single" w:color="auto" w:sz="4" w:space="0"/>
              <w:left w:val="nil"/>
              <w:bottom w:val="single" w:color="auto" w:sz="4" w:space="0"/>
              <w:right w:val="single" w:color="auto" w:sz="4" w:space="0"/>
            </w:tcBorders>
            <w:shd w:val="clear" w:color="auto" w:fill="auto"/>
            <w:vAlign w:val="center"/>
          </w:tcPr>
          <w:p w14:paraId="11E612ED">
            <w:pPr>
              <w:spacing w:before="0" w:after="0" w:line="240" w:lineRule="auto"/>
              <w:ind w:firstLine="300"/>
              <w:jc w:val="center"/>
              <w:rPr>
                <w:rFonts w:hint="eastAsia" w:ascii="宋体" w:hAnsi="宋体" w:cs="宋体"/>
                <w:bCs/>
                <w:sz w:val="15"/>
                <w:szCs w:val="15"/>
              </w:rPr>
            </w:pPr>
          </w:p>
        </w:tc>
        <w:tc>
          <w:tcPr>
            <w:tcW w:w="637" w:type="pct"/>
            <w:tcBorders>
              <w:top w:val="single" w:color="auto" w:sz="4" w:space="0"/>
              <w:left w:val="nil"/>
              <w:bottom w:val="single" w:color="auto" w:sz="4" w:space="0"/>
              <w:right w:val="single" w:color="auto" w:sz="4" w:space="0"/>
            </w:tcBorders>
            <w:shd w:val="clear" w:color="auto" w:fill="auto"/>
            <w:vAlign w:val="center"/>
          </w:tcPr>
          <w:p w14:paraId="4270BF1A">
            <w:pPr>
              <w:spacing w:before="0" w:after="0" w:line="240" w:lineRule="auto"/>
              <w:ind w:firstLine="300"/>
              <w:jc w:val="center"/>
              <w:rPr>
                <w:rFonts w:hint="eastAsia" w:ascii="宋体" w:hAnsi="宋体" w:cs="宋体"/>
                <w:bCs/>
                <w:sz w:val="15"/>
                <w:szCs w:val="15"/>
              </w:rPr>
            </w:pPr>
          </w:p>
        </w:tc>
      </w:tr>
      <w:tr w14:paraId="1B4AB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568" w:type="pct"/>
            <w:tcBorders>
              <w:top w:val="single" w:color="auto" w:sz="4" w:space="0"/>
              <w:left w:val="single" w:color="auto" w:sz="4" w:space="0"/>
              <w:bottom w:val="single" w:color="auto" w:sz="4" w:space="0"/>
              <w:right w:val="single" w:color="auto" w:sz="4" w:space="0"/>
            </w:tcBorders>
            <w:shd w:val="clear" w:color="auto" w:fill="auto"/>
            <w:vAlign w:val="center"/>
          </w:tcPr>
          <w:p w14:paraId="53DF69E6">
            <w:pPr>
              <w:spacing w:before="0" w:after="0" w:line="240" w:lineRule="auto"/>
              <w:ind w:right="-143" w:rightChars="-51" w:firstLine="300"/>
              <w:jc w:val="center"/>
              <w:rPr>
                <w:rFonts w:hint="eastAsia" w:ascii="宋体" w:hAnsi="宋体" w:cs="宋体"/>
                <w:bCs/>
                <w:sz w:val="15"/>
                <w:szCs w:val="15"/>
              </w:rPr>
            </w:pPr>
            <w:r>
              <w:rPr>
                <w:rFonts w:hint="eastAsia" w:ascii="宋体" w:hAnsi="宋体" w:cs="宋体"/>
                <w:bCs/>
                <w:sz w:val="15"/>
                <w:szCs w:val="15"/>
                <w:lang w:bidi="ar"/>
              </w:rPr>
              <w:t>。。。。。。</w:t>
            </w:r>
          </w:p>
        </w:tc>
        <w:tc>
          <w:tcPr>
            <w:tcW w:w="732" w:type="pct"/>
            <w:tcBorders>
              <w:top w:val="single" w:color="auto" w:sz="4" w:space="0"/>
              <w:left w:val="nil"/>
              <w:bottom w:val="single" w:color="auto" w:sz="4" w:space="0"/>
              <w:right w:val="single" w:color="auto" w:sz="4" w:space="0"/>
            </w:tcBorders>
            <w:shd w:val="clear" w:color="auto" w:fill="auto"/>
            <w:vAlign w:val="center"/>
          </w:tcPr>
          <w:p w14:paraId="3CEE84C8">
            <w:pPr>
              <w:spacing w:before="0" w:after="0" w:line="240" w:lineRule="auto"/>
              <w:ind w:firstLine="0"/>
              <w:jc w:val="center"/>
              <w:rPr>
                <w:rFonts w:hint="eastAsia" w:ascii="宋体" w:hAnsi="宋体" w:cs="宋体"/>
                <w:bCs/>
                <w:sz w:val="15"/>
                <w:szCs w:val="15"/>
              </w:rPr>
            </w:pPr>
            <w:r>
              <w:rPr>
                <w:rFonts w:hint="eastAsia" w:ascii="宋体" w:hAnsi="宋体" w:cs="宋体"/>
                <w:bCs/>
                <w:sz w:val="15"/>
                <w:szCs w:val="15"/>
                <w:lang w:bidi="ar"/>
              </w:rPr>
              <w:t>。。。。。。</w:t>
            </w:r>
          </w:p>
        </w:tc>
        <w:tc>
          <w:tcPr>
            <w:tcW w:w="563" w:type="pct"/>
            <w:tcBorders>
              <w:top w:val="single" w:color="auto" w:sz="4" w:space="0"/>
              <w:left w:val="nil"/>
              <w:bottom w:val="single" w:color="auto" w:sz="4" w:space="0"/>
              <w:right w:val="single" w:color="auto" w:sz="4" w:space="0"/>
            </w:tcBorders>
            <w:shd w:val="clear" w:color="auto" w:fill="auto"/>
            <w:vAlign w:val="center"/>
          </w:tcPr>
          <w:p w14:paraId="2568B989">
            <w:pPr>
              <w:spacing w:before="0" w:after="0" w:line="240" w:lineRule="auto"/>
              <w:ind w:firstLine="0"/>
              <w:jc w:val="center"/>
              <w:rPr>
                <w:rFonts w:hint="eastAsia" w:ascii="宋体" w:hAnsi="宋体" w:cs="宋体"/>
                <w:bCs/>
                <w:sz w:val="15"/>
                <w:szCs w:val="15"/>
              </w:rPr>
            </w:pPr>
            <w:r>
              <w:rPr>
                <w:rFonts w:hint="eastAsia" w:ascii="宋体" w:hAnsi="宋体" w:cs="宋体"/>
                <w:bCs/>
                <w:sz w:val="15"/>
                <w:szCs w:val="15"/>
                <w:lang w:bidi="ar"/>
              </w:rPr>
              <w:t>。。。。。。</w:t>
            </w:r>
          </w:p>
        </w:tc>
        <w:tc>
          <w:tcPr>
            <w:tcW w:w="563" w:type="pct"/>
            <w:tcBorders>
              <w:top w:val="single" w:color="auto" w:sz="4" w:space="0"/>
              <w:left w:val="nil"/>
              <w:bottom w:val="single" w:color="auto" w:sz="4" w:space="0"/>
              <w:right w:val="single" w:color="auto" w:sz="4" w:space="0"/>
            </w:tcBorders>
            <w:shd w:val="clear" w:color="auto" w:fill="auto"/>
            <w:vAlign w:val="center"/>
          </w:tcPr>
          <w:p w14:paraId="3DA27E2F">
            <w:pPr>
              <w:spacing w:before="0" w:after="0" w:line="240" w:lineRule="auto"/>
              <w:ind w:firstLine="300"/>
              <w:jc w:val="center"/>
              <w:rPr>
                <w:rFonts w:hint="eastAsia" w:ascii="宋体" w:hAnsi="宋体" w:cs="宋体"/>
                <w:bCs/>
                <w:sz w:val="15"/>
                <w:szCs w:val="15"/>
              </w:rPr>
            </w:pPr>
          </w:p>
        </w:tc>
        <w:tc>
          <w:tcPr>
            <w:tcW w:w="387" w:type="pct"/>
            <w:tcBorders>
              <w:top w:val="single" w:color="auto" w:sz="4" w:space="0"/>
              <w:left w:val="nil"/>
              <w:bottom w:val="single" w:color="auto" w:sz="4" w:space="0"/>
              <w:right w:val="single" w:color="auto" w:sz="4" w:space="0"/>
            </w:tcBorders>
            <w:shd w:val="clear" w:color="auto" w:fill="auto"/>
            <w:vAlign w:val="center"/>
          </w:tcPr>
          <w:p w14:paraId="1DCF9A82">
            <w:pPr>
              <w:spacing w:before="0" w:after="0" w:line="240" w:lineRule="auto"/>
              <w:ind w:firstLine="300"/>
              <w:jc w:val="center"/>
              <w:rPr>
                <w:rFonts w:hint="eastAsia" w:ascii="宋体" w:hAnsi="宋体" w:cs="宋体"/>
                <w:bCs/>
                <w:sz w:val="15"/>
                <w:szCs w:val="15"/>
              </w:rPr>
            </w:pPr>
          </w:p>
        </w:tc>
        <w:tc>
          <w:tcPr>
            <w:tcW w:w="908" w:type="pct"/>
            <w:tcBorders>
              <w:top w:val="single" w:color="auto" w:sz="4" w:space="0"/>
              <w:left w:val="nil"/>
              <w:bottom w:val="single" w:color="auto" w:sz="4" w:space="0"/>
              <w:right w:val="single" w:color="auto" w:sz="4" w:space="0"/>
            </w:tcBorders>
            <w:shd w:val="clear" w:color="auto" w:fill="auto"/>
            <w:vAlign w:val="center"/>
          </w:tcPr>
          <w:p w14:paraId="40672101">
            <w:pPr>
              <w:spacing w:before="0" w:after="0" w:line="240" w:lineRule="auto"/>
              <w:ind w:firstLine="300"/>
              <w:jc w:val="center"/>
              <w:rPr>
                <w:rFonts w:hint="eastAsia" w:ascii="宋体" w:hAnsi="宋体" w:cs="宋体"/>
                <w:bCs/>
                <w:sz w:val="15"/>
                <w:szCs w:val="15"/>
              </w:rPr>
            </w:pPr>
          </w:p>
        </w:tc>
        <w:tc>
          <w:tcPr>
            <w:tcW w:w="637" w:type="pct"/>
            <w:tcBorders>
              <w:top w:val="single" w:color="auto" w:sz="4" w:space="0"/>
              <w:left w:val="nil"/>
              <w:bottom w:val="single" w:color="auto" w:sz="4" w:space="0"/>
              <w:right w:val="single" w:color="auto" w:sz="4" w:space="0"/>
            </w:tcBorders>
            <w:shd w:val="clear" w:color="auto" w:fill="auto"/>
            <w:vAlign w:val="center"/>
          </w:tcPr>
          <w:p w14:paraId="4F69EA8B">
            <w:pPr>
              <w:spacing w:before="0" w:after="0" w:line="240" w:lineRule="auto"/>
              <w:ind w:firstLine="300"/>
              <w:jc w:val="center"/>
              <w:rPr>
                <w:rFonts w:hint="eastAsia" w:ascii="宋体" w:hAnsi="宋体" w:cs="宋体"/>
                <w:bCs/>
                <w:sz w:val="15"/>
                <w:szCs w:val="15"/>
              </w:rPr>
            </w:pPr>
          </w:p>
        </w:tc>
        <w:tc>
          <w:tcPr>
            <w:tcW w:w="637" w:type="pct"/>
            <w:tcBorders>
              <w:top w:val="single" w:color="auto" w:sz="4" w:space="0"/>
              <w:left w:val="nil"/>
              <w:bottom w:val="single" w:color="auto" w:sz="4" w:space="0"/>
              <w:right w:val="single" w:color="auto" w:sz="4" w:space="0"/>
            </w:tcBorders>
            <w:shd w:val="clear" w:color="auto" w:fill="auto"/>
            <w:vAlign w:val="center"/>
          </w:tcPr>
          <w:p w14:paraId="2D57C5C4">
            <w:pPr>
              <w:spacing w:before="0" w:after="0" w:line="240" w:lineRule="auto"/>
              <w:ind w:firstLine="300"/>
              <w:jc w:val="center"/>
              <w:rPr>
                <w:rFonts w:hint="eastAsia" w:ascii="宋体" w:hAnsi="宋体" w:cs="宋体"/>
                <w:bCs/>
                <w:sz w:val="15"/>
                <w:szCs w:val="15"/>
              </w:rPr>
            </w:pPr>
          </w:p>
        </w:tc>
      </w:tr>
    </w:tbl>
    <w:p w14:paraId="1DB1CB21">
      <w:pPr>
        <w:spacing w:before="0" w:after="0" w:line="240" w:lineRule="auto"/>
        <w:ind w:firstLine="0"/>
        <w:rPr>
          <w:rFonts w:hint="eastAsia" w:ascii="宋体" w:hAnsi="宋体" w:cs="宋体"/>
          <w:sz w:val="15"/>
          <w:szCs w:val="15"/>
          <w:lang w:bidi="ar"/>
        </w:rPr>
      </w:pPr>
    </w:p>
    <w:p w14:paraId="48CA7745">
      <w:pPr>
        <w:spacing w:before="0" w:after="0" w:line="240" w:lineRule="auto"/>
        <w:ind w:firstLine="300"/>
        <w:rPr>
          <w:rFonts w:hint="eastAsia" w:ascii="宋体" w:hAnsi="宋体"/>
          <w:sz w:val="15"/>
          <w:szCs w:val="15"/>
        </w:rPr>
      </w:pPr>
      <w:r>
        <w:rPr>
          <w:rFonts w:hint="eastAsia" w:ascii="宋体" w:hAnsi="宋体" w:cs="宋体"/>
          <w:sz w:val="15"/>
          <w:szCs w:val="15"/>
          <w:lang w:bidi="ar"/>
        </w:rPr>
        <w:t xml:space="preserve">应答人若中选本项目，在合同签订前或/及入场提供服务前，买方可对项目服务团队人员（包括项目经理/项目负责人和全体项目成员）的信息（身份、证书、经验证明等材料）进行符合性验证，若验证结果与应答文件提供的服务团队人员清单信息不一致，视为提供虚假证明材料，取消应答人的中选人资格并列入严重负面行为，同时按照《贵州移动供应商负面行为管理规则》进行相应处理。 </w:t>
      </w:r>
    </w:p>
    <w:bookmarkEnd w:id="36"/>
    <w:bookmarkEnd w:id="37"/>
    <w:bookmarkEnd w:id="38"/>
    <w:bookmarkEnd w:id="39"/>
    <w:bookmarkEnd w:id="40"/>
    <w:p w14:paraId="228E3C01">
      <w:pPr>
        <w:pStyle w:val="38"/>
        <w:numPr>
          <w:ilvl w:val="1"/>
          <w:numId w:val="1"/>
        </w:numPr>
        <w:outlineLvl w:val="1"/>
        <w:rPr>
          <w:rFonts w:hint="eastAsia"/>
        </w:rPr>
      </w:pPr>
      <w:bookmarkStart w:id="43" w:name="_Toc17808"/>
      <w:bookmarkStart w:id="44" w:name="_Toc21170"/>
      <w:r>
        <w:t>★</w:t>
      </w:r>
      <w:r>
        <w:rPr>
          <w:rFonts w:hint="eastAsia"/>
        </w:rPr>
        <w:t>日常考核管理办法</w:t>
      </w:r>
      <w:bookmarkEnd w:id="43"/>
      <w:bookmarkEnd w:id="44"/>
    </w:p>
    <w:p w14:paraId="45A0AB62">
      <w:pPr>
        <w:spacing w:before="0" w:after="0" w:line="240" w:lineRule="auto"/>
        <w:ind w:firstLine="300"/>
        <w:rPr>
          <w:rFonts w:hint="eastAsia"/>
          <w:color w:val="FF0000"/>
          <w:sz w:val="15"/>
          <w:szCs w:val="15"/>
        </w:rPr>
      </w:pPr>
      <w:r>
        <w:rPr>
          <w:rFonts w:hint="eastAsia"/>
          <w:color w:val="FF0000"/>
          <w:sz w:val="15"/>
          <w:szCs w:val="15"/>
        </w:rPr>
        <w:t>本考核标准适用于对大模型智能应用运营服务平台研发工作完成情况的综合评价，考核内容为中国移动贵州公司2025年大模型智能应用运营服务平台研发项目合同内约定的各项工作的时效性、服务质量。</w:t>
      </w:r>
    </w:p>
    <w:p w14:paraId="3FDBB135">
      <w:pPr>
        <w:pStyle w:val="38"/>
        <w:numPr>
          <w:ilvl w:val="2"/>
          <w:numId w:val="1"/>
        </w:numPr>
        <w:outlineLvl w:val="2"/>
        <w:rPr>
          <w:rFonts w:hint="eastAsia"/>
        </w:rPr>
      </w:pPr>
      <w:bookmarkStart w:id="45" w:name="_Toc23865"/>
      <w:r>
        <w:rPr>
          <w:rFonts w:hint="eastAsia"/>
        </w:rPr>
        <w:t>考核评分表</w:t>
      </w:r>
      <w:bookmarkEnd w:id="45"/>
    </w:p>
    <w:tbl>
      <w:tblPr>
        <w:tblStyle w:val="22"/>
        <w:tblW w:w="5001" w:type="pct"/>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149"/>
        <w:gridCol w:w="1877"/>
        <w:gridCol w:w="1056"/>
        <w:gridCol w:w="2985"/>
        <w:gridCol w:w="3137"/>
      </w:tblGrid>
      <w:tr w14:paraId="1E99873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00" w:hRule="atLeast"/>
          <w:tblHeader/>
        </w:trPr>
        <w:tc>
          <w:tcPr>
            <w:tcW w:w="563" w:type="pct"/>
            <w:tcBorders>
              <w:tl2br w:val="nil"/>
              <w:tr2bl w:val="nil"/>
            </w:tcBorders>
            <w:shd w:val="clear" w:color="auto" w:fill="auto"/>
            <w:vAlign w:val="center"/>
          </w:tcPr>
          <w:p w14:paraId="6A2A1997">
            <w:pPr>
              <w:spacing w:before="0" w:after="0" w:line="240" w:lineRule="auto"/>
              <w:ind w:firstLine="0"/>
              <w:rPr>
                <w:rFonts w:hint="eastAsia" w:ascii="宋体" w:hAnsi="宋体"/>
                <w:sz w:val="15"/>
                <w:szCs w:val="15"/>
              </w:rPr>
            </w:pPr>
            <w:r>
              <w:rPr>
                <w:rFonts w:hint="eastAsia" w:ascii="宋体" w:hAnsi="宋体"/>
                <w:sz w:val="15"/>
                <w:szCs w:val="15"/>
              </w:rPr>
              <w:t>分类</w:t>
            </w:r>
          </w:p>
        </w:tc>
        <w:tc>
          <w:tcPr>
            <w:tcW w:w="919" w:type="pct"/>
            <w:tcBorders>
              <w:tl2br w:val="nil"/>
              <w:tr2bl w:val="nil"/>
            </w:tcBorders>
            <w:shd w:val="clear" w:color="auto" w:fill="auto"/>
            <w:vAlign w:val="center"/>
          </w:tcPr>
          <w:p w14:paraId="6C249FCD">
            <w:pPr>
              <w:spacing w:before="0" w:after="0" w:line="240" w:lineRule="auto"/>
              <w:ind w:firstLine="0"/>
              <w:rPr>
                <w:rFonts w:hint="eastAsia" w:ascii="宋体" w:hAnsi="宋体"/>
                <w:sz w:val="15"/>
                <w:szCs w:val="15"/>
              </w:rPr>
            </w:pPr>
            <w:r>
              <w:rPr>
                <w:rFonts w:hint="eastAsia" w:ascii="宋体" w:hAnsi="宋体"/>
                <w:sz w:val="15"/>
                <w:szCs w:val="15"/>
              </w:rPr>
              <w:t>服务内容</w:t>
            </w:r>
          </w:p>
        </w:tc>
        <w:tc>
          <w:tcPr>
            <w:tcW w:w="517" w:type="pct"/>
            <w:tcBorders>
              <w:tl2br w:val="nil"/>
              <w:tr2bl w:val="nil"/>
            </w:tcBorders>
            <w:shd w:val="clear" w:color="auto" w:fill="auto"/>
            <w:vAlign w:val="center"/>
          </w:tcPr>
          <w:p w14:paraId="54137588">
            <w:pPr>
              <w:spacing w:before="0" w:after="0" w:line="240" w:lineRule="auto"/>
              <w:ind w:firstLine="0"/>
              <w:rPr>
                <w:rFonts w:hint="eastAsia" w:ascii="宋体" w:hAnsi="宋体"/>
                <w:sz w:val="15"/>
                <w:szCs w:val="15"/>
              </w:rPr>
            </w:pPr>
            <w:r>
              <w:rPr>
                <w:rFonts w:hint="eastAsia" w:ascii="宋体" w:hAnsi="宋体"/>
                <w:sz w:val="15"/>
                <w:szCs w:val="15"/>
              </w:rPr>
              <w:t>分数</w:t>
            </w:r>
          </w:p>
        </w:tc>
        <w:tc>
          <w:tcPr>
            <w:tcW w:w="1462" w:type="pct"/>
            <w:tcBorders>
              <w:tl2br w:val="nil"/>
              <w:tr2bl w:val="nil"/>
            </w:tcBorders>
            <w:shd w:val="clear" w:color="auto" w:fill="auto"/>
            <w:vAlign w:val="center"/>
          </w:tcPr>
          <w:p w14:paraId="0990B834">
            <w:pPr>
              <w:spacing w:before="0" w:after="0" w:line="240" w:lineRule="auto"/>
              <w:ind w:firstLine="0"/>
              <w:rPr>
                <w:rFonts w:hint="eastAsia" w:ascii="宋体" w:hAnsi="宋体"/>
                <w:sz w:val="15"/>
                <w:szCs w:val="15"/>
              </w:rPr>
            </w:pPr>
            <w:r>
              <w:rPr>
                <w:rFonts w:hint="eastAsia" w:ascii="宋体" w:hAnsi="宋体"/>
                <w:sz w:val="15"/>
                <w:szCs w:val="15"/>
              </w:rPr>
              <w:t>服务标准</w:t>
            </w:r>
          </w:p>
        </w:tc>
        <w:tc>
          <w:tcPr>
            <w:tcW w:w="1536" w:type="pct"/>
            <w:tcBorders>
              <w:tl2br w:val="nil"/>
              <w:tr2bl w:val="nil"/>
            </w:tcBorders>
            <w:shd w:val="clear" w:color="auto" w:fill="auto"/>
            <w:vAlign w:val="center"/>
          </w:tcPr>
          <w:p w14:paraId="0FF7558C">
            <w:pPr>
              <w:spacing w:before="0" w:after="0" w:line="240" w:lineRule="auto"/>
              <w:ind w:firstLine="0"/>
              <w:rPr>
                <w:rFonts w:hint="eastAsia" w:ascii="宋体" w:hAnsi="宋体"/>
                <w:sz w:val="15"/>
                <w:szCs w:val="15"/>
              </w:rPr>
            </w:pPr>
            <w:r>
              <w:rPr>
                <w:rFonts w:hint="eastAsia" w:ascii="宋体" w:hAnsi="宋体"/>
                <w:sz w:val="15"/>
                <w:szCs w:val="15"/>
              </w:rPr>
              <w:t>考核标准</w:t>
            </w:r>
          </w:p>
        </w:tc>
      </w:tr>
      <w:tr w14:paraId="2825CDA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900" w:hRule="atLeast"/>
        </w:trPr>
        <w:tc>
          <w:tcPr>
            <w:tcW w:w="563" w:type="pct"/>
            <w:vMerge w:val="restart"/>
            <w:tcBorders>
              <w:tl2br w:val="nil"/>
              <w:tr2bl w:val="nil"/>
            </w:tcBorders>
            <w:shd w:val="clear" w:color="auto" w:fill="auto"/>
            <w:vAlign w:val="center"/>
          </w:tcPr>
          <w:p w14:paraId="02E635E3">
            <w:pPr>
              <w:spacing w:before="0" w:after="0" w:line="240" w:lineRule="auto"/>
              <w:ind w:firstLine="0"/>
              <w:rPr>
                <w:rFonts w:hint="eastAsia" w:ascii="宋体" w:hAnsi="宋体"/>
                <w:sz w:val="15"/>
                <w:szCs w:val="15"/>
              </w:rPr>
            </w:pPr>
            <w:r>
              <w:rPr>
                <w:rFonts w:hint="eastAsia" w:ascii="宋体" w:hAnsi="宋体"/>
                <w:sz w:val="15"/>
                <w:szCs w:val="15"/>
              </w:rPr>
              <w:t>交付</w:t>
            </w:r>
          </w:p>
          <w:p w14:paraId="54ADE934">
            <w:pPr>
              <w:spacing w:before="0" w:after="0" w:line="240" w:lineRule="auto"/>
              <w:ind w:firstLine="0"/>
              <w:rPr>
                <w:rFonts w:hint="eastAsia" w:ascii="宋体" w:hAnsi="宋体"/>
                <w:sz w:val="15"/>
                <w:szCs w:val="15"/>
              </w:rPr>
            </w:pPr>
            <w:r>
              <w:rPr>
                <w:rFonts w:hint="eastAsia" w:ascii="宋体" w:hAnsi="宋体"/>
                <w:sz w:val="15"/>
                <w:szCs w:val="15"/>
              </w:rPr>
              <w:t>(30分)</w:t>
            </w:r>
          </w:p>
        </w:tc>
        <w:tc>
          <w:tcPr>
            <w:tcW w:w="919" w:type="pct"/>
            <w:tcBorders>
              <w:tl2br w:val="nil"/>
              <w:tr2bl w:val="nil"/>
            </w:tcBorders>
            <w:shd w:val="clear" w:color="auto" w:fill="auto"/>
            <w:vAlign w:val="center"/>
          </w:tcPr>
          <w:p w14:paraId="2ED86263">
            <w:pPr>
              <w:spacing w:before="0" w:after="0" w:line="240" w:lineRule="auto"/>
              <w:ind w:firstLine="0"/>
              <w:rPr>
                <w:rFonts w:hint="eastAsia" w:ascii="宋体" w:hAnsi="宋体"/>
                <w:sz w:val="15"/>
                <w:szCs w:val="15"/>
              </w:rPr>
            </w:pPr>
            <w:r>
              <w:rPr>
                <w:rFonts w:hint="eastAsia" w:ascii="宋体" w:hAnsi="宋体"/>
                <w:sz w:val="15"/>
                <w:szCs w:val="15"/>
              </w:rPr>
              <w:t>交付及时性</w:t>
            </w:r>
          </w:p>
        </w:tc>
        <w:tc>
          <w:tcPr>
            <w:tcW w:w="517" w:type="pct"/>
            <w:tcBorders>
              <w:tl2br w:val="nil"/>
              <w:tr2bl w:val="nil"/>
            </w:tcBorders>
            <w:shd w:val="clear" w:color="auto" w:fill="auto"/>
            <w:vAlign w:val="center"/>
          </w:tcPr>
          <w:p w14:paraId="3E432910">
            <w:pPr>
              <w:spacing w:before="0" w:after="0" w:line="240" w:lineRule="auto"/>
              <w:ind w:firstLine="0"/>
              <w:rPr>
                <w:rFonts w:hint="eastAsia" w:ascii="宋体" w:hAnsi="宋体"/>
                <w:sz w:val="15"/>
                <w:szCs w:val="15"/>
              </w:rPr>
            </w:pPr>
            <w:r>
              <w:rPr>
                <w:rFonts w:hint="eastAsia" w:ascii="宋体" w:hAnsi="宋体"/>
                <w:sz w:val="15"/>
                <w:szCs w:val="15"/>
              </w:rPr>
              <w:t>15</w:t>
            </w:r>
          </w:p>
        </w:tc>
        <w:tc>
          <w:tcPr>
            <w:tcW w:w="1462" w:type="pct"/>
            <w:tcBorders>
              <w:tl2br w:val="nil"/>
              <w:tr2bl w:val="nil"/>
            </w:tcBorders>
            <w:shd w:val="clear" w:color="auto" w:fill="auto"/>
            <w:vAlign w:val="center"/>
          </w:tcPr>
          <w:p w14:paraId="318B0E06">
            <w:pPr>
              <w:spacing w:before="0" w:after="0" w:line="240" w:lineRule="auto"/>
              <w:ind w:firstLine="0"/>
              <w:rPr>
                <w:rFonts w:hint="eastAsia" w:ascii="宋体" w:hAnsi="宋体"/>
                <w:sz w:val="15"/>
                <w:szCs w:val="15"/>
              </w:rPr>
            </w:pPr>
            <w:r>
              <w:rPr>
                <w:rFonts w:hint="eastAsia" w:ascii="宋体" w:hAnsi="宋体"/>
                <w:sz w:val="15"/>
                <w:szCs w:val="15"/>
              </w:rPr>
              <w:t>交付及时率=实际软件交付时间不晚于计划软件时间的交付时间/30天*100%</w:t>
            </w:r>
          </w:p>
        </w:tc>
        <w:tc>
          <w:tcPr>
            <w:tcW w:w="1536" w:type="pct"/>
            <w:tcBorders>
              <w:tl2br w:val="nil"/>
              <w:tr2bl w:val="nil"/>
            </w:tcBorders>
            <w:shd w:val="clear" w:color="auto" w:fill="auto"/>
            <w:vAlign w:val="center"/>
          </w:tcPr>
          <w:p w14:paraId="3EA5D366">
            <w:pPr>
              <w:spacing w:before="0" w:after="0" w:line="240" w:lineRule="auto"/>
              <w:ind w:firstLine="0"/>
              <w:rPr>
                <w:rFonts w:hint="eastAsia" w:ascii="宋体" w:hAnsi="宋体"/>
                <w:sz w:val="15"/>
                <w:szCs w:val="15"/>
              </w:rPr>
            </w:pPr>
            <w:r>
              <w:rPr>
                <w:rFonts w:hint="eastAsia" w:ascii="宋体" w:hAnsi="宋体"/>
                <w:sz w:val="15"/>
                <w:szCs w:val="15"/>
              </w:rPr>
              <w:t>交付及时率得分=15-（1-交付及时率）*100；</w:t>
            </w:r>
          </w:p>
          <w:p w14:paraId="7AABB403">
            <w:pPr>
              <w:spacing w:before="0" w:after="0" w:line="240" w:lineRule="auto"/>
              <w:ind w:firstLine="0"/>
              <w:rPr>
                <w:rFonts w:hint="eastAsia" w:ascii="宋体" w:hAnsi="宋体"/>
                <w:sz w:val="15"/>
                <w:szCs w:val="15"/>
              </w:rPr>
            </w:pPr>
            <w:r>
              <w:rPr>
                <w:rFonts w:hint="eastAsia" w:ascii="宋体" w:hAnsi="宋体"/>
                <w:sz w:val="15"/>
                <w:szCs w:val="15"/>
              </w:rPr>
              <w:t>（交付及时率大于30天，得0分）。</w:t>
            </w:r>
          </w:p>
        </w:tc>
      </w:tr>
      <w:tr w14:paraId="58E1009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900" w:hRule="atLeast"/>
        </w:trPr>
        <w:tc>
          <w:tcPr>
            <w:tcW w:w="563" w:type="pct"/>
            <w:vMerge w:val="continue"/>
            <w:tcBorders>
              <w:tl2br w:val="nil"/>
              <w:tr2bl w:val="nil"/>
            </w:tcBorders>
            <w:shd w:val="clear" w:color="auto" w:fill="auto"/>
            <w:vAlign w:val="center"/>
          </w:tcPr>
          <w:p w14:paraId="4D4E5AC0">
            <w:pPr>
              <w:spacing w:before="0" w:after="0" w:line="240" w:lineRule="auto"/>
              <w:ind w:firstLine="0"/>
              <w:rPr>
                <w:rFonts w:hint="eastAsia" w:ascii="宋体" w:hAnsi="宋体"/>
                <w:sz w:val="15"/>
                <w:szCs w:val="15"/>
              </w:rPr>
            </w:pPr>
          </w:p>
        </w:tc>
        <w:tc>
          <w:tcPr>
            <w:tcW w:w="919" w:type="pct"/>
            <w:tcBorders>
              <w:tl2br w:val="nil"/>
              <w:tr2bl w:val="nil"/>
            </w:tcBorders>
            <w:shd w:val="clear" w:color="auto" w:fill="auto"/>
            <w:vAlign w:val="center"/>
          </w:tcPr>
          <w:p w14:paraId="51FC599B">
            <w:pPr>
              <w:spacing w:before="0" w:after="0" w:line="240" w:lineRule="auto"/>
              <w:ind w:firstLine="0"/>
              <w:rPr>
                <w:rFonts w:hint="eastAsia" w:ascii="宋体" w:hAnsi="宋体"/>
                <w:sz w:val="15"/>
                <w:szCs w:val="15"/>
              </w:rPr>
            </w:pPr>
            <w:r>
              <w:rPr>
                <w:rFonts w:hint="eastAsia" w:ascii="宋体" w:hAnsi="宋体"/>
                <w:sz w:val="15"/>
                <w:szCs w:val="15"/>
              </w:rPr>
              <w:t>交付配合程度</w:t>
            </w:r>
          </w:p>
        </w:tc>
        <w:tc>
          <w:tcPr>
            <w:tcW w:w="517" w:type="pct"/>
            <w:tcBorders>
              <w:tl2br w:val="nil"/>
              <w:tr2bl w:val="nil"/>
            </w:tcBorders>
            <w:shd w:val="clear" w:color="auto" w:fill="auto"/>
            <w:vAlign w:val="center"/>
          </w:tcPr>
          <w:p w14:paraId="590671B0">
            <w:pPr>
              <w:spacing w:before="0" w:after="0" w:line="240" w:lineRule="auto"/>
              <w:ind w:firstLine="0"/>
              <w:rPr>
                <w:rFonts w:hint="eastAsia" w:ascii="宋体" w:hAnsi="宋体"/>
                <w:sz w:val="15"/>
                <w:szCs w:val="15"/>
              </w:rPr>
            </w:pPr>
            <w:r>
              <w:rPr>
                <w:rFonts w:hint="eastAsia" w:ascii="宋体" w:hAnsi="宋体"/>
                <w:sz w:val="15"/>
                <w:szCs w:val="15"/>
              </w:rPr>
              <w:t>10</w:t>
            </w:r>
          </w:p>
        </w:tc>
        <w:tc>
          <w:tcPr>
            <w:tcW w:w="1462" w:type="pct"/>
            <w:tcBorders>
              <w:tl2br w:val="nil"/>
              <w:tr2bl w:val="nil"/>
            </w:tcBorders>
            <w:shd w:val="clear" w:color="auto" w:fill="auto"/>
            <w:vAlign w:val="center"/>
          </w:tcPr>
          <w:p w14:paraId="674459BB">
            <w:pPr>
              <w:spacing w:before="0" w:after="0" w:line="240" w:lineRule="auto"/>
              <w:ind w:firstLine="0"/>
              <w:rPr>
                <w:rFonts w:hint="eastAsia" w:ascii="宋体" w:hAnsi="宋体"/>
                <w:sz w:val="15"/>
                <w:szCs w:val="15"/>
              </w:rPr>
            </w:pPr>
            <w:r>
              <w:rPr>
                <w:rFonts w:hint="eastAsia" w:ascii="宋体" w:hAnsi="宋体"/>
                <w:sz w:val="15"/>
                <w:szCs w:val="15"/>
              </w:rPr>
              <w:t>产品交付时的配合程度，并是否可以进行有效沟通和支持</w:t>
            </w:r>
          </w:p>
        </w:tc>
        <w:tc>
          <w:tcPr>
            <w:tcW w:w="1536" w:type="pct"/>
            <w:tcBorders>
              <w:tl2br w:val="nil"/>
              <w:tr2bl w:val="nil"/>
            </w:tcBorders>
            <w:shd w:val="clear" w:color="auto" w:fill="auto"/>
            <w:vAlign w:val="center"/>
          </w:tcPr>
          <w:p w14:paraId="4433513F">
            <w:pPr>
              <w:spacing w:before="0" w:after="0" w:line="240" w:lineRule="auto"/>
              <w:ind w:firstLine="0"/>
              <w:rPr>
                <w:rFonts w:hint="eastAsia" w:ascii="宋体" w:hAnsi="宋体"/>
                <w:sz w:val="15"/>
                <w:szCs w:val="15"/>
              </w:rPr>
            </w:pPr>
            <w:r>
              <w:rPr>
                <w:rFonts w:hint="eastAsia" w:ascii="宋体" w:hAnsi="宋体"/>
                <w:sz w:val="15"/>
                <w:szCs w:val="15"/>
              </w:rPr>
              <w:t>绝大部分情况下可以积极配合，进行有效沟通，得10分；</w:t>
            </w:r>
          </w:p>
          <w:p w14:paraId="7FC0B074">
            <w:pPr>
              <w:spacing w:before="0" w:after="0" w:line="240" w:lineRule="auto"/>
              <w:ind w:firstLine="0"/>
              <w:rPr>
                <w:rFonts w:hint="eastAsia" w:ascii="宋体" w:hAnsi="宋体"/>
                <w:sz w:val="15"/>
                <w:szCs w:val="15"/>
              </w:rPr>
            </w:pPr>
            <w:r>
              <w:rPr>
                <w:rFonts w:hint="eastAsia" w:ascii="宋体" w:hAnsi="宋体"/>
                <w:sz w:val="15"/>
                <w:szCs w:val="15"/>
              </w:rPr>
              <w:t>大部分情况下可以积极配合，偶尔不能进行有效沟通，得5分；</w:t>
            </w:r>
          </w:p>
          <w:p w14:paraId="1E3E58CA">
            <w:pPr>
              <w:spacing w:before="0" w:after="0" w:line="240" w:lineRule="auto"/>
              <w:ind w:firstLine="0"/>
              <w:rPr>
                <w:rFonts w:hint="eastAsia" w:ascii="宋体" w:hAnsi="宋体"/>
                <w:sz w:val="15"/>
                <w:szCs w:val="15"/>
              </w:rPr>
            </w:pPr>
            <w:r>
              <w:rPr>
                <w:rFonts w:hint="eastAsia" w:ascii="宋体" w:hAnsi="宋体"/>
                <w:sz w:val="15"/>
                <w:szCs w:val="15"/>
              </w:rPr>
              <w:t>配合程度较差，沟通和技术支持较差，得0分。</w:t>
            </w:r>
          </w:p>
        </w:tc>
      </w:tr>
      <w:tr w14:paraId="7B6C605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900" w:hRule="atLeast"/>
        </w:trPr>
        <w:tc>
          <w:tcPr>
            <w:tcW w:w="563" w:type="pct"/>
            <w:vMerge w:val="continue"/>
            <w:tcBorders>
              <w:tl2br w:val="nil"/>
              <w:tr2bl w:val="nil"/>
            </w:tcBorders>
            <w:shd w:val="clear" w:color="auto" w:fill="auto"/>
            <w:vAlign w:val="center"/>
          </w:tcPr>
          <w:p w14:paraId="4AE09E6F">
            <w:pPr>
              <w:spacing w:before="0" w:after="0" w:line="240" w:lineRule="auto"/>
              <w:ind w:firstLine="0"/>
              <w:rPr>
                <w:rFonts w:hint="eastAsia" w:ascii="宋体" w:hAnsi="宋体"/>
                <w:sz w:val="15"/>
                <w:szCs w:val="15"/>
              </w:rPr>
            </w:pPr>
          </w:p>
        </w:tc>
        <w:tc>
          <w:tcPr>
            <w:tcW w:w="919" w:type="pct"/>
            <w:tcBorders>
              <w:tl2br w:val="nil"/>
              <w:tr2bl w:val="nil"/>
            </w:tcBorders>
            <w:shd w:val="clear" w:color="auto" w:fill="auto"/>
            <w:vAlign w:val="center"/>
          </w:tcPr>
          <w:p w14:paraId="262AF2A6">
            <w:pPr>
              <w:spacing w:before="0" w:after="0" w:line="240" w:lineRule="auto"/>
              <w:ind w:firstLine="0"/>
              <w:rPr>
                <w:rFonts w:hint="eastAsia" w:ascii="宋体" w:hAnsi="宋体"/>
                <w:sz w:val="15"/>
                <w:szCs w:val="15"/>
              </w:rPr>
            </w:pPr>
            <w:r>
              <w:rPr>
                <w:rFonts w:hint="eastAsia" w:ascii="宋体" w:hAnsi="宋体"/>
                <w:sz w:val="15"/>
                <w:szCs w:val="15"/>
              </w:rPr>
              <w:t>应急响应及时性</w:t>
            </w:r>
          </w:p>
        </w:tc>
        <w:tc>
          <w:tcPr>
            <w:tcW w:w="517" w:type="pct"/>
            <w:tcBorders>
              <w:tl2br w:val="nil"/>
              <w:tr2bl w:val="nil"/>
            </w:tcBorders>
            <w:shd w:val="clear" w:color="auto" w:fill="auto"/>
            <w:vAlign w:val="center"/>
          </w:tcPr>
          <w:p w14:paraId="58AB9A7A">
            <w:pPr>
              <w:spacing w:before="0" w:after="0" w:line="240" w:lineRule="auto"/>
              <w:ind w:firstLine="0"/>
              <w:rPr>
                <w:rFonts w:hint="eastAsia" w:ascii="宋体" w:hAnsi="宋体"/>
                <w:sz w:val="15"/>
                <w:szCs w:val="15"/>
              </w:rPr>
            </w:pPr>
            <w:r>
              <w:rPr>
                <w:rFonts w:hint="eastAsia" w:ascii="宋体" w:hAnsi="宋体"/>
                <w:sz w:val="15"/>
                <w:szCs w:val="15"/>
              </w:rPr>
              <w:t>5</w:t>
            </w:r>
          </w:p>
        </w:tc>
        <w:tc>
          <w:tcPr>
            <w:tcW w:w="1462" w:type="pct"/>
            <w:tcBorders>
              <w:tl2br w:val="nil"/>
              <w:tr2bl w:val="nil"/>
            </w:tcBorders>
            <w:shd w:val="clear" w:color="auto" w:fill="auto"/>
            <w:vAlign w:val="center"/>
          </w:tcPr>
          <w:p w14:paraId="4A5221CC">
            <w:pPr>
              <w:spacing w:before="0" w:after="0" w:line="240" w:lineRule="auto"/>
              <w:ind w:firstLine="0"/>
              <w:rPr>
                <w:rFonts w:hint="eastAsia" w:ascii="宋体" w:hAnsi="宋体"/>
                <w:sz w:val="15"/>
                <w:szCs w:val="15"/>
              </w:rPr>
            </w:pPr>
            <w:r>
              <w:rPr>
                <w:rFonts w:hint="eastAsia" w:ascii="宋体" w:hAnsi="宋体"/>
                <w:sz w:val="15"/>
                <w:szCs w:val="15"/>
              </w:rPr>
              <w:t>对计划外软件开发紧急需求响应及时性</w:t>
            </w:r>
          </w:p>
        </w:tc>
        <w:tc>
          <w:tcPr>
            <w:tcW w:w="1536" w:type="pct"/>
            <w:tcBorders>
              <w:tl2br w:val="nil"/>
              <w:tr2bl w:val="nil"/>
            </w:tcBorders>
            <w:shd w:val="clear" w:color="auto" w:fill="auto"/>
            <w:vAlign w:val="center"/>
          </w:tcPr>
          <w:p w14:paraId="4BE76307">
            <w:pPr>
              <w:spacing w:before="0" w:after="0" w:line="240" w:lineRule="auto"/>
              <w:ind w:firstLine="0"/>
              <w:rPr>
                <w:rFonts w:hint="eastAsia" w:ascii="宋体" w:hAnsi="宋体"/>
                <w:sz w:val="15"/>
                <w:szCs w:val="15"/>
              </w:rPr>
            </w:pPr>
            <w:r>
              <w:rPr>
                <w:rFonts w:hint="eastAsia" w:ascii="宋体" w:hAnsi="宋体"/>
                <w:sz w:val="15"/>
                <w:szCs w:val="15"/>
              </w:rPr>
              <w:t>绝大部分情况下能够对计划外软件开发紧急需求做出及时响应，得5分；</w:t>
            </w:r>
          </w:p>
          <w:p w14:paraId="06CEEE2B">
            <w:pPr>
              <w:spacing w:before="0" w:after="0" w:line="240" w:lineRule="auto"/>
              <w:ind w:firstLine="0"/>
              <w:rPr>
                <w:rFonts w:hint="eastAsia" w:ascii="宋体" w:hAnsi="宋体"/>
                <w:sz w:val="15"/>
                <w:szCs w:val="15"/>
              </w:rPr>
            </w:pPr>
            <w:r>
              <w:rPr>
                <w:rFonts w:hint="eastAsia" w:ascii="宋体" w:hAnsi="宋体"/>
                <w:sz w:val="15"/>
                <w:szCs w:val="15"/>
              </w:rPr>
              <w:t>基本上能够对计划外的软件开发紧急需求做出及时响应，得3分；</w:t>
            </w:r>
          </w:p>
          <w:p w14:paraId="4B93AD4E">
            <w:pPr>
              <w:spacing w:before="0" w:after="0" w:line="240" w:lineRule="auto"/>
              <w:ind w:firstLine="0"/>
              <w:rPr>
                <w:rFonts w:hint="eastAsia" w:ascii="宋体" w:hAnsi="宋体"/>
                <w:sz w:val="15"/>
                <w:szCs w:val="15"/>
              </w:rPr>
            </w:pPr>
            <w:r>
              <w:rPr>
                <w:rFonts w:hint="eastAsia" w:ascii="宋体" w:hAnsi="宋体"/>
                <w:sz w:val="15"/>
                <w:szCs w:val="15"/>
              </w:rPr>
              <w:t>只对少部分计划外软件开发需求及时相应，或者对计划外紧急需求无及时响应，得0分。</w:t>
            </w:r>
          </w:p>
        </w:tc>
      </w:tr>
      <w:tr w14:paraId="139B880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900" w:hRule="atLeast"/>
        </w:trPr>
        <w:tc>
          <w:tcPr>
            <w:tcW w:w="563" w:type="pct"/>
            <w:vMerge w:val="restart"/>
            <w:tcBorders>
              <w:tl2br w:val="nil"/>
              <w:tr2bl w:val="nil"/>
            </w:tcBorders>
            <w:shd w:val="clear" w:color="auto" w:fill="auto"/>
            <w:vAlign w:val="center"/>
          </w:tcPr>
          <w:p w14:paraId="07B84BF0">
            <w:pPr>
              <w:spacing w:before="0" w:after="0" w:line="240" w:lineRule="auto"/>
              <w:ind w:firstLine="0"/>
              <w:rPr>
                <w:rFonts w:hint="eastAsia" w:ascii="宋体" w:hAnsi="宋体"/>
                <w:sz w:val="15"/>
                <w:szCs w:val="15"/>
              </w:rPr>
            </w:pPr>
            <w:r>
              <w:rPr>
                <w:rFonts w:hint="eastAsia" w:ascii="宋体" w:hAnsi="宋体"/>
                <w:sz w:val="15"/>
                <w:szCs w:val="15"/>
              </w:rPr>
              <w:t>技术</w:t>
            </w:r>
          </w:p>
          <w:p w14:paraId="4445EC5C">
            <w:pPr>
              <w:spacing w:before="0" w:after="0" w:line="240" w:lineRule="auto"/>
              <w:ind w:firstLine="0"/>
              <w:rPr>
                <w:rFonts w:hint="eastAsia" w:ascii="宋体" w:hAnsi="宋体"/>
                <w:sz w:val="15"/>
                <w:szCs w:val="15"/>
              </w:rPr>
            </w:pPr>
            <w:r>
              <w:rPr>
                <w:rFonts w:hint="eastAsia" w:ascii="宋体" w:hAnsi="宋体"/>
                <w:sz w:val="15"/>
                <w:szCs w:val="15"/>
              </w:rPr>
              <w:t>(35分）</w:t>
            </w:r>
          </w:p>
        </w:tc>
        <w:tc>
          <w:tcPr>
            <w:tcW w:w="919" w:type="pct"/>
            <w:tcBorders>
              <w:tl2br w:val="nil"/>
              <w:tr2bl w:val="nil"/>
            </w:tcBorders>
            <w:shd w:val="clear" w:color="auto" w:fill="auto"/>
            <w:vAlign w:val="center"/>
          </w:tcPr>
          <w:p w14:paraId="49896BC6">
            <w:pPr>
              <w:spacing w:before="0" w:after="0" w:line="240" w:lineRule="auto"/>
              <w:ind w:firstLine="0"/>
              <w:rPr>
                <w:rFonts w:hint="eastAsia" w:ascii="宋体" w:hAnsi="宋体"/>
                <w:sz w:val="15"/>
                <w:szCs w:val="15"/>
              </w:rPr>
            </w:pPr>
            <w:r>
              <w:rPr>
                <w:rFonts w:hint="eastAsia" w:ascii="宋体" w:hAnsi="宋体"/>
                <w:sz w:val="15"/>
                <w:szCs w:val="15"/>
              </w:rPr>
              <w:t>支撑工具变更</w:t>
            </w:r>
          </w:p>
        </w:tc>
        <w:tc>
          <w:tcPr>
            <w:tcW w:w="517" w:type="pct"/>
            <w:tcBorders>
              <w:tl2br w:val="nil"/>
              <w:tr2bl w:val="nil"/>
            </w:tcBorders>
            <w:shd w:val="clear" w:color="auto" w:fill="auto"/>
            <w:vAlign w:val="center"/>
          </w:tcPr>
          <w:p w14:paraId="37F8696A">
            <w:pPr>
              <w:spacing w:before="0" w:after="0" w:line="240" w:lineRule="auto"/>
              <w:ind w:firstLine="0"/>
              <w:rPr>
                <w:rFonts w:hint="eastAsia" w:ascii="宋体" w:hAnsi="宋体"/>
                <w:sz w:val="15"/>
                <w:szCs w:val="15"/>
              </w:rPr>
            </w:pPr>
            <w:r>
              <w:rPr>
                <w:rFonts w:hint="eastAsia" w:ascii="宋体" w:hAnsi="宋体"/>
                <w:sz w:val="15"/>
                <w:szCs w:val="15"/>
              </w:rPr>
              <w:t>10</w:t>
            </w:r>
          </w:p>
        </w:tc>
        <w:tc>
          <w:tcPr>
            <w:tcW w:w="1462" w:type="pct"/>
            <w:tcBorders>
              <w:tl2br w:val="nil"/>
              <w:tr2bl w:val="nil"/>
            </w:tcBorders>
            <w:shd w:val="clear" w:color="auto" w:fill="auto"/>
          </w:tcPr>
          <w:p w14:paraId="4FF0E338">
            <w:pPr>
              <w:spacing w:before="0" w:after="0" w:line="240" w:lineRule="auto"/>
              <w:ind w:firstLine="0"/>
              <w:rPr>
                <w:rFonts w:hint="eastAsia" w:ascii="宋体" w:hAnsi="宋体"/>
                <w:sz w:val="15"/>
                <w:szCs w:val="15"/>
              </w:rPr>
            </w:pPr>
            <w:r>
              <w:rPr>
                <w:rFonts w:hint="eastAsia" w:ascii="宋体" w:hAnsi="宋体"/>
                <w:sz w:val="15"/>
                <w:szCs w:val="15"/>
              </w:rPr>
              <w:t>在服务过程中. 若因故障处理、版本升级、补丁加载、业务部署、系统配置等原因，需要对支撑工具进行变更，则需制定完备的测试方案、实施方案、应急预案，并遵照计划在规定的时间窗口内实施。</w:t>
            </w:r>
          </w:p>
        </w:tc>
        <w:tc>
          <w:tcPr>
            <w:tcW w:w="1536" w:type="pct"/>
            <w:tcBorders>
              <w:tl2br w:val="nil"/>
              <w:tr2bl w:val="nil"/>
            </w:tcBorders>
            <w:shd w:val="clear" w:color="auto" w:fill="auto"/>
          </w:tcPr>
          <w:p w14:paraId="6749C1C5">
            <w:pPr>
              <w:spacing w:before="0" w:after="0" w:line="240" w:lineRule="auto"/>
              <w:ind w:firstLine="0"/>
              <w:rPr>
                <w:rFonts w:hint="eastAsia" w:ascii="宋体" w:hAnsi="宋体"/>
                <w:sz w:val="15"/>
                <w:szCs w:val="15"/>
              </w:rPr>
            </w:pPr>
            <w:r>
              <w:rPr>
                <w:rFonts w:hint="eastAsia" w:ascii="宋体" w:hAnsi="宋体"/>
                <w:sz w:val="15"/>
                <w:szCs w:val="15"/>
              </w:rPr>
              <w:t>若因卖方未制定完备的变更测试方案、实施方案、应急预案，或完全由于卖方原因未遵照计划实施，造成停机时间超过计划停机时间，则每超出1小时扣1分；对导致故障的，加扣2分，升级为三级故障的，加扣4分；升级为二级故障的，加扣6分；升级为一级故障的，加扣8分。 最高扣10分</w:t>
            </w:r>
          </w:p>
        </w:tc>
      </w:tr>
      <w:tr w14:paraId="72AF065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900" w:hRule="atLeast"/>
        </w:trPr>
        <w:tc>
          <w:tcPr>
            <w:tcW w:w="563" w:type="pct"/>
            <w:vMerge w:val="continue"/>
            <w:tcBorders>
              <w:tl2br w:val="nil"/>
              <w:tr2bl w:val="nil"/>
            </w:tcBorders>
            <w:shd w:val="clear" w:color="auto" w:fill="auto"/>
            <w:vAlign w:val="center"/>
          </w:tcPr>
          <w:p w14:paraId="50BDFF68">
            <w:pPr>
              <w:spacing w:before="0" w:after="0" w:line="240" w:lineRule="auto"/>
              <w:ind w:firstLine="0"/>
              <w:rPr>
                <w:rFonts w:hint="eastAsia" w:ascii="宋体" w:hAnsi="宋体"/>
                <w:sz w:val="15"/>
                <w:szCs w:val="15"/>
              </w:rPr>
            </w:pPr>
          </w:p>
        </w:tc>
        <w:tc>
          <w:tcPr>
            <w:tcW w:w="919" w:type="pct"/>
            <w:tcBorders>
              <w:tl2br w:val="nil"/>
              <w:tr2bl w:val="nil"/>
            </w:tcBorders>
            <w:shd w:val="clear" w:color="auto" w:fill="auto"/>
            <w:vAlign w:val="center"/>
          </w:tcPr>
          <w:p w14:paraId="23FC1F96">
            <w:pPr>
              <w:spacing w:before="0" w:after="0" w:line="240" w:lineRule="auto"/>
              <w:ind w:firstLine="0"/>
              <w:rPr>
                <w:rFonts w:hint="eastAsia" w:ascii="宋体" w:hAnsi="宋体"/>
                <w:sz w:val="15"/>
                <w:szCs w:val="15"/>
              </w:rPr>
            </w:pPr>
            <w:r>
              <w:rPr>
                <w:rFonts w:hint="eastAsia" w:ascii="宋体" w:hAnsi="宋体"/>
                <w:sz w:val="15"/>
                <w:szCs w:val="15"/>
              </w:rPr>
              <w:t>技术服务要求</w:t>
            </w:r>
          </w:p>
        </w:tc>
        <w:tc>
          <w:tcPr>
            <w:tcW w:w="517" w:type="pct"/>
            <w:tcBorders>
              <w:tl2br w:val="nil"/>
              <w:tr2bl w:val="nil"/>
            </w:tcBorders>
            <w:shd w:val="clear" w:color="auto" w:fill="auto"/>
            <w:vAlign w:val="center"/>
          </w:tcPr>
          <w:p w14:paraId="1A547910">
            <w:pPr>
              <w:spacing w:before="0" w:after="0" w:line="240" w:lineRule="auto"/>
              <w:ind w:firstLine="0"/>
              <w:rPr>
                <w:rFonts w:hint="eastAsia" w:ascii="宋体" w:hAnsi="宋体"/>
                <w:sz w:val="15"/>
                <w:szCs w:val="15"/>
              </w:rPr>
            </w:pPr>
            <w:r>
              <w:rPr>
                <w:rFonts w:hint="eastAsia" w:ascii="宋体" w:hAnsi="宋体"/>
                <w:sz w:val="15"/>
                <w:szCs w:val="15"/>
              </w:rPr>
              <w:t>10</w:t>
            </w:r>
          </w:p>
        </w:tc>
        <w:tc>
          <w:tcPr>
            <w:tcW w:w="1462" w:type="pct"/>
            <w:tcBorders>
              <w:tl2br w:val="nil"/>
              <w:tr2bl w:val="nil"/>
            </w:tcBorders>
            <w:shd w:val="clear" w:color="auto" w:fill="auto"/>
          </w:tcPr>
          <w:p w14:paraId="35B51DCD">
            <w:pPr>
              <w:spacing w:before="0" w:after="0" w:line="240" w:lineRule="auto"/>
              <w:ind w:firstLine="0"/>
              <w:rPr>
                <w:rFonts w:hint="eastAsia" w:ascii="宋体" w:hAnsi="宋体"/>
                <w:sz w:val="15"/>
                <w:szCs w:val="15"/>
              </w:rPr>
            </w:pPr>
            <w:r>
              <w:rPr>
                <w:rFonts w:hint="eastAsia" w:ascii="宋体" w:hAnsi="宋体"/>
                <w:sz w:val="15"/>
                <w:szCs w:val="15"/>
              </w:rPr>
              <w:t>卖方应按照双方同意的技术服务规范或服务条款提供优质的服务。</w:t>
            </w:r>
          </w:p>
        </w:tc>
        <w:tc>
          <w:tcPr>
            <w:tcW w:w="1536" w:type="pct"/>
            <w:tcBorders>
              <w:tl2br w:val="nil"/>
              <w:tr2bl w:val="nil"/>
            </w:tcBorders>
            <w:shd w:val="clear" w:color="auto" w:fill="auto"/>
          </w:tcPr>
          <w:p w14:paraId="004503CA">
            <w:pPr>
              <w:spacing w:before="0" w:after="0" w:line="240" w:lineRule="auto"/>
              <w:ind w:firstLine="0"/>
              <w:rPr>
                <w:rFonts w:hint="eastAsia" w:ascii="宋体" w:hAnsi="宋体"/>
                <w:sz w:val="15"/>
                <w:szCs w:val="15"/>
              </w:rPr>
            </w:pPr>
            <w:r>
              <w:rPr>
                <w:rFonts w:hint="eastAsia" w:ascii="宋体" w:hAnsi="宋体"/>
                <w:sz w:val="15"/>
                <w:szCs w:val="15"/>
              </w:rPr>
              <w:t>由于卖方未能按照双方同意的技术服务规范或服务条款提供服务，买方提出书面投诉的，每次扣5分。</w:t>
            </w:r>
          </w:p>
        </w:tc>
      </w:tr>
      <w:tr w14:paraId="1F903B4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900" w:hRule="atLeast"/>
        </w:trPr>
        <w:tc>
          <w:tcPr>
            <w:tcW w:w="563" w:type="pct"/>
            <w:vMerge w:val="continue"/>
            <w:tcBorders>
              <w:tl2br w:val="nil"/>
              <w:tr2bl w:val="nil"/>
            </w:tcBorders>
            <w:shd w:val="clear" w:color="auto" w:fill="auto"/>
            <w:vAlign w:val="center"/>
          </w:tcPr>
          <w:p w14:paraId="3F932D05">
            <w:pPr>
              <w:spacing w:before="0" w:after="0" w:line="240" w:lineRule="auto"/>
              <w:ind w:firstLine="0"/>
              <w:rPr>
                <w:rFonts w:hint="eastAsia" w:ascii="宋体" w:hAnsi="宋体"/>
                <w:sz w:val="15"/>
                <w:szCs w:val="15"/>
              </w:rPr>
            </w:pPr>
          </w:p>
        </w:tc>
        <w:tc>
          <w:tcPr>
            <w:tcW w:w="919" w:type="pct"/>
            <w:tcBorders>
              <w:tl2br w:val="nil"/>
              <w:tr2bl w:val="nil"/>
            </w:tcBorders>
            <w:shd w:val="clear" w:color="auto" w:fill="auto"/>
            <w:vAlign w:val="center"/>
          </w:tcPr>
          <w:p w14:paraId="0C32F2F5">
            <w:pPr>
              <w:spacing w:before="0" w:after="0" w:line="240" w:lineRule="auto"/>
              <w:ind w:firstLine="0"/>
              <w:rPr>
                <w:rFonts w:hint="eastAsia" w:ascii="宋体" w:hAnsi="宋体"/>
                <w:sz w:val="15"/>
                <w:szCs w:val="15"/>
              </w:rPr>
            </w:pPr>
            <w:r>
              <w:rPr>
                <w:rFonts w:hint="eastAsia" w:ascii="宋体" w:hAnsi="宋体"/>
                <w:sz w:val="15"/>
                <w:szCs w:val="15"/>
              </w:rPr>
              <w:t>功能测试要求</w:t>
            </w:r>
          </w:p>
        </w:tc>
        <w:tc>
          <w:tcPr>
            <w:tcW w:w="517" w:type="pct"/>
            <w:tcBorders>
              <w:tl2br w:val="nil"/>
              <w:tr2bl w:val="nil"/>
            </w:tcBorders>
            <w:shd w:val="clear" w:color="auto" w:fill="auto"/>
            <w:vAlign w:val="center"/>
          </w:tcPr>
          <w:p w14:paraId="199F6830">
            <w:pPr>
              <w:spacing w:before="0" w:after="0" w:line="240" w:lineRule="auto"/>
              <w:ind w:firstLine="0"/>
              <w:rPr>
                <w:rFonts w:hint="eastAsia" w:ascii="宋体" w:hAnsi="宋体"/>
                <w:sz w:val="15"/>
                <w:szCs w:val="15"/>
              </w:rPr>
            </w:pPr>
            <w:r>
              <w:rPr>
                <w:rFonts w:hint="eastAsia" w:ascii="宋体" w:hAnsi="宋体"/>
                <w:sz w:val="15"/>
                <w:szCs w:val="15"/>
              </w:rPr>
              <w:t>5</w:t>
            </w:r>
          </w:p>
        </w:tc>
        <w:tc>
          <w:tcPr>
            <w:tcW w:w="1462" w:type="pct"/>
            <w:tcBorders>
              <w:tl2br w:val="nil"/>
              <w:tr2bl w:val="nil"/>
            </w:tcBorders>
            <w:shd w:val="clear" w:color="auto" w:fill="auto"/>
            <w:vAlign w:val="center"/>
          </w:tcPr>
          <w:p w14:paraId="136CC259">
            <w:pPr>
              <w:spacing w:before="0" w:after="0" w:line="240" w:lineRule="auto"/>
              <w:ind w:firstLine="0"/>
              <w:rPr>
                <w:rFonts w:hint="eastAsia" w:ascii="宋体" w:hAnsi="宋体"/>
                <w:sz w:val="15"/>
                <w:szCs w:val="15"/>
              </w:rPr>
            </w:pPr>
            <w:r>
              <w:rPr>
                <w:rFonts w:hint="eastAsia" w:ascii="宋体" w:hAnsi="宋体"/>
                <w:sz w:val="15"/>
                <w:szCs w:val="15"/>
              </w:rPr>
              <w:t>项目涉及软件验收测试时，软件验收测试故障点数量</w:t>
            </w:r>
          </w:p>
        </w:tc>
        <w:tc>
          <w:tcPr>
            <w:tcW w:w="1536" w:type="pct"/>
            <w:tcBorders>
              <w:tl2br w:val="nil"/>
              <w:tr2bl w:val="nil"/>
            </w:tcBorders>
            <w:shd w:val="clear" w:color="auto" w:fill="auto"/>
            <w:vAlign w:val="center"/>
          </w:tcPr>
          <w:p w14:paraId="4E6879B1">
            <w:pPr>
              <w:spacing w:before="0" w:after="0" w:line="240" w:lineRule="auto"/>
              <w:ind w:firstLine="0"/>
              <w:rPr>
                <w:rFonts w:hint="eastAsia" w:ascii="宋体" w:hAnsi="宋体"/>
                <w:sz w:val="15"/>
                <w:szCs w:val="15"/>
              </w:rPr>
            </w:pPr>
            <w:r>
              <w:rPr>
                <w:rFonts w:hint="eastAsia" w:ascii="宋体" w:hAnsi="宋体"/>
                <w:sz w:val="15"/>
                <w:szCs w:val="15"/>
              </w:rPr>
              <w:t>验收测试时，无故障点，满足全部功能要求，得5分；</w:t>
            </w:r>
          </w:p>
          <w:p w14:paraId="19115F55">
            <w:pPr>
              <w:spacing w:before="0" w:after="0" w:line="240" w:lineRule="auto"/>
              <w:ind w:firstLine="0"/>
              <w:rPr>
                <w:rFonts w:hint="eastAsia" w:ascii="宋体" w:hAnsi="宋体"/>
                <w:sz w:val="15"/>
                <w:szCs w:val="15"/>
              </w:rPr>
            </w:pPr>
            <w:r>
              <w:rPr>
                <w:rFonts w:hint="eastAsia" w:ascii="宋体" w:hAnsi="宋体"/>
                <w:sz w:val="15"/>
                <w:szCs w:val="15"/>
              </w:rPr>
              <w:t>验收测试时，少于5处故障点，得3分；</w:t>
            </w:r>
          </w:p>
          <w:p w14:paraId="4A830629">
            <w:pPr>
              <w:spacing w:before="0" w:after="0" w:line="240" w:lineRule="auto"/>
              <w:ind w:firstLine="0"/>
              <w:rPr>
                <w:rFonts w:hint="eastAsia" w:ascii="宋体" w:hAnsi="宋体"/>
                <w:sz w:val="15"/>
                <w:szCs w:val="15"/>
              </w:rPr>
            </w:pPr>
            <w:r>
              <w:rPr>
                <w:rFonts w:hint="eastAsia" w:ascii="宋体" w:hAnsi="宋体"/>
                <w:sz w:val="15"/>
                <w:szCs w:val="15"/>
              </w:rPr>
              <w:t>验收测试时，超出5处故障点，得0分。</w:t>
            </w:r>
          </w:p>
        </w:tc>
      </w:tr>
      <w:tr w14:paraId="011066A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900" w:hRule="atLeast"/>
        </w:trPr>
        <w:tc>
          <w:tcPr>
            <w:tcW w:w="563" w:type="pct"/>
            <w:vMerge w:val="continue"/>
            <w:tcBorders>
              <w:tl2br w:val="nil"/>
              <w:tr2bl w:val="nil"/>
            </w:tcBorders>
            <w:shd w:val="clear" w:color="auto" w:fill="auto"/>
            <w:vAlign w:val="center"/>
          </w:tcPr>
          <w:p w14:paraId="7B3EA0E0">
            <w:pPr>
              <w:spacing w:before="0" w:after="0" w:line="240" w:lineRule="auto"/>
              <w:ind w:firstLine="0"/>
              <w:rPr>
                <w:rFonts w:hint="eastAsia" w:ascii="宋体" w:hAnsi="宋体"/>
                <w:sz w:val="15"/>
                <w:szCs w:val="15"/>
              </w:rPr>
            </w:pPr>
          </w:p>
        </w:tc>
        <w:tc>
          <w:tcPr>
            <w:tcW w:w="919" w:type="pct"/>
            <w:tcBorders>
              <w:tl2br w:val="nil"/>
              <w:tr2bl w:val="nil"/>
            </w:tcBorders>
            <w:shd w:val="clear" w:color="auto" w:fill="auto"/>
            <w:vAlign w:val="center"/>
          </w:tcPr>
          <w:p w14:paraId="2CAEB746">
            <w:pPr>
              <w:spacing w:before="0" w:after="0" w:line="240" w:lineRule="auto"/>
              <w:ind w:firstLine="0"/>
              <w:rPr>
                <w:rFonts w:hint="eastAsia" w:ascii="宋体" w:hAnsi="宋体"/>
                <w:sz w:val="15"/>
                <w:szCs w:val="15"/>
              </w:rPr>
            </w:pPr>
            <w:r>
              <w:rPr>
                <w:rFonts w:hint="eastAsia" w:ascii="宋体" w:hAnsi="宋体"/>
                <w:sz w:val="15"/>
                <w:szCs w:val="15"/>
              </w:rPr>
              <w:t>技术文档质量</w:t>
            </w:r>
          </w:p>
        </w:tc>
        <w:tc>
          <w:tcPr>
            <w:tcW w:w="517" w:type="pct"/>
            <w:tcBorders>
              <w:tl2br w:val="nil"/>
              <w:tr2bl w:val="nil"/>
            </w:tcBorders>
            <w:shd w:val="clear" w:color="auto" w:fill="auto"/>
            <w:vAlign w:val="center"/>
          </w:tcPr>
          <w:p w14:paraId="45B9C2AF">
            <w:pPr>
              <w:spacing w:before="0" w:after="0" w:line="240" w:lineRule="auto"/>
              <w:ind w:firstLine="0"/>
              <w:rPr>
                <w:rFonts w:hint="eastAsia" w:ascii="宋体" w:hAnsi="宋体"/>
                <w:sz w:val="15"/>
                <w:szCs w:val="15"/>
              </w:rPr>
            </w:pPr>
            <w:r>
              <w:rPr>
                <w:rFonts w:hint="eastAsia" w:ascii="宋体" w:hAnsi="宋体"/>
                <w:sz w:val="15"/>
                <w:szCs w:val="15"/>
              </w:rPr>
              <w:t>10</w:t>
            </w:r>
          </w:p>
        </w:tc>
        <w:tc>
          <w:tcPr>
            <w:tcW w:w="1462" w:type="pct"/>
            <w:tcBorders>
              <w:tl2br w:val="nil"/>
              <w:tr2bl w:val="nil"/>
            </w:tcBorders>
            <w:shd w:val="clear" w:color="auto" w:fill="auto"/>
            <w:vAlign w:val="center"/>
          </w:tcPr>
          <w:p w14:paraId="026E8DA4">
            <w:pPr>
              <w:spacing w:before="0" w:after="0" w:line="240" w:lineRule="auto"/>
              <w:ind w:firstLine="0"/>
              <w:rPr>
                <w:rFonts w:hint="eastAsia" w:ascii="宋体" w:hAnsi="宋体"/>
                <w:sz w:val="15"/>
                <w:szCs w:val="15"/>
              </w:rPr>
            </w:pPr>
            <w:r>
              <w:rPr>
                <w:rFonts w:hint="eastAsia" w:ascii="宋体" w:hAnsi="宋体"/>
                <w:sz w:val="15"/>
                <w:szCs w:val="15"/>
              </w:rPr>
              <w:t>产品检验报告、安装使用说明、按批次提供的产品信息表（关键原材料、出厂检验指标得）</w:t>
            </w:r>
          </w:p>
        </w:tc>
        <w:tc>
          <w:tcPr>
            <w:tcW w:w="1536" w:type="pct"/>
            <w:tcBorders>
              <w:tl2br w:val="nil"/>
              <w:tr2bl w:val="nil"/>
            </w:tcBorders>
            <w:shd w:val="clear" w:color="auto" w:fill="auto"/>
            <w:vAlign w:val="center"/>
          </w:tcPr>
          <w:p w14:paraId="663C8CCA">
            <w:pPr>
              <w:spacing w:before="0" w:after="0" w:line="240" w:lineRule="auto"/>
              <w:ind w:firstLine="0"/>
              <w:rPr>
                <w:rFonts w:hint="eastAsia" w:ascii="宋体" w:hAnsi="宋体"/>
                <w:sz w:val="15"/>
                <w:szCs w:val="15"/>
              </w:rPr>
            </w:pPr>
            <w:r>
              <w:rPr>
                <w:rFonts w:hint="eastAsia" w:ascii="宋体" w:hAnsi="宋体"/>
                <w:sz w:val="15"/>
                <w:szCs w:val="15"/>
              </w:rPr>
              <w:t>技术文档完整，且无错误、无遗漏，得10分；</w:t>
            </w:r>
          </w:p>
          <w:p w14:paraId="3BF214C6">
            <w:pPr>
              <w:spacing w:before="0" w:after="0" w:line="240" w:lineRule="auto"/>
              <w:ind w:firstLine="0"/>
              <w:rPr>
                <w:rFonts w:hint="eastAsia" w:ascii="宋体" w:hAnsi="宋体"/>
                <w:sz w:val="15"/>
                <w:szCs w:val="15"/>
              </w:rPr>
            </w:pPr>
            <w:r>
              <w:rPr>
                <w:rFonts w:hint="eastAsia" w:ascii="宋体" w:hAnsi="宋体"/>
                <w:sz w:val="15"/>
                <w:szCs w:val="15"/>
              </w:rPr>
              <w:t>技术文档偶尔存在少量遗漏或错误，但是能及时补充或更正，得5分；</w:t>
            </w:r>
          </w:p>
          <w:p w14:paraId="5113D648">
            <w:pPr>
              <w:spacing w:before="0" w:after="0" w:line="240" w:lineRule="auto"/>
              <w:ind w:firstLine="0"/>
              <w:rPr>
                <w:rFonts w:hint="eastAsia" w:ascii="宋体" w:hAnsi="宋体"/>
                <w:sz w:val="15"/>
                <w:szCs w:val="15"/>
              </w:rPr>
            </w:pPr>
            <w:r>
              <w:rPr>
                <w:rFonts w:hint="eastAsia" w:ascii="宋体" w:hAnsi="宋体"/>
                <w:sz w:val="15"/>
                <w:szCs w:val="15"/>
              </w:rPr>
              <w:t>技术文档经常出现遗漏或错误，或技术文档出现严重失误或缺失，造成重大质量事故，得0分。</w:t>
            </w:r>
          </w:p>
        </w:tc>
      </w:tr>
    </w:tbl>
    <w:p w14:paraId="6D3E7D4A">
      <w:pPr>
        <w:spacing w:before="0" w:after="0" w:line="240" w:lineRule="auto"/>
        <w:ind w:firstLine="0"/>
        <w:rPr>
          <w:rFonts w:hint="eastAsia" w:ascii="宋体" w:hAnsi="宋体"/>
          <w:sz w:val="15"/>
          <w:szCs w:val="15"/>
        </w:rPr>
      </w:pPr>
      <w:r>
        <w:rPr>
          <w:rFonts w:hint="eastAsia" w:ascii="宋体" w:hAnsi="宋体"/>
          <w:sz w:val="15"/>
          <w:szCs w:val="15"/>
        </w:rPr>
        <w:br w:type="page"/>
      </w:r>
    </w:p>
    <w:tbl>
      <w:tblPr>
        <w:tblStyle w:val="22"/>
        <w:tblW w:w="5139" w:type="pct"/>
        <w:tblInd w:w="-238"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657"/>
        <w:gridCol w:w="1876"/>
        <w:gridCol w:w="1055"/>
        <w:gridCol w:w="2985"/>
        <w:gridCol w:w="2913"/>
      </w:tblGrid>
      <w:tr w14:paraId="1B18B7C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20" w:hRule="atLeast"/>
        </w:trPr>
        <w:tc>
          <w:tcPr>
            <w:tcW w:w="790" w:type="pct"/>
            <w:vMerge w:val="restart"/>
            <w:tcBorders>
              <w:tl2br w:val="nil"/>
              <w:tr2bl w:val="nil"/>
            </w:tcBorders>
            <w:shd w:val="clear" w:color="auto" w:fill="auto"/>
            <w:vAlign w:val="center"/>
          </w:tcPr>
          <w:p w14:paraId="11596650">
            <w:pPr>
              <w:spacing w:before="0" w:after="0" w:line="240" w:lineRule="auto"/>
              <w:ind w:firstLine="0"/>
              <w:rPr>
                <w:rFonts w:hint="eastAsia" w:ascii="宋体" w:hAnsi="宋体"/>
                <w:sz w:val="15"/>
                <w:szCs w:val="15"/>
              </w:rPr>
            </w:pPr>
            <w:r>
              <w:rPr>
                <w:rFonts w:hint="eastAsia" w:ascii="宋体" w:hAnsi="宋体"/>
                <w:sz w:val="15"/>
                <w:szCs w:val="15"/>
              </w:rPr>
              <w:t>服务</w:t>
            </w:r>
          </w:p>
          <w:p w14:paraId="2DB6D5C4">
            <w:pPr>
              <w:spacing w:before="0" w:after="0" w:line="240" w:lineRule="auto"/>
              <w:ind w:firstLine="0"/>
              <w:rPr>
                <w:rFonts w:hint="eastAsia" w:ascii="宋体" w:hAnsi="宋体"/>
                <w:sz w:val="15"/>
                <w:szCs w:val="15"/>
              </w:rPr>
            </w:pPr>
            <w:r>
              <w:rPr>
                <w:rFonts w:hint="eastAsia" w:ascii="宋体" w:hAnsi="宋体"/>
                <w:sz w:val="15"/>
                <w:szCs w:val="15"/>
              </w:rPr>
              <w:t>（20分）</w:t>
            </w:r>
          </w:p>
        </w:tc>
        <w:tc>
          <w:tcPr>
            <w:tcW w:w="894" w:type="pct"/>
            <w:tcBorders>
              <w:tl2br w:val="nil"/>
              <w:tr2bl w:val="nil"/>
            </w:tcBorders>
            <w:shd w:val="clear" w:color="auto" w:fill="auto"/>
            <w:vAlign w:val="center"/>
          </w:tcPr>
          <w:p w14:paraId="5A339DB6">
            <w:pPr>
              <w:spacing w:before="0" w:after="0" w:line="240" w:lineRule="auto"/>
              <w:ind w:firstLine="0"/>
              <w:rPr>
                <w:rFonts w:hint="eastAsia" w:ascii="宋体" w:hAnsi="宋体"/>
                <w:sz w:val="15"/>
                <w:szCs w:val="15"/>
              </w:rPr>
            </w:pPr>
            <w:r>
              <w:rPr>
                <w:rFonts w:hint="eastAsia" w:ascii="宋体" w:hAnsi="宋体"/>
                <w:sz w:val="15"/>
                <w:szCs w:val="15"/>
              </w:rPr>
              <w:t>基本服务要求</w:t>
            </w:r>
          </w:p>
        </w:tc>
        <w:tc>
          <w:tcPr>
            <w:tcW w:w="503" w:type="pct"/>
            <w:tcBorders>
              <w:tl2br w:val="nil"/>
              <w:tr2bl w:val="nil"/>
            </w:tcBorders>
            <w:shd w:val="clear" w:color="auto" w:fill="auto"/>
            <w:vAlign w:val="center"/>
          </w:tcPr>
          <w:p w14:paraId="09364356">
            <w:pPr>
              <w:spacing w:before="0" w:after="0" w:line="240" w:lineRule="auto"/>
              <w:ind w:firstLine="0"/>
              <w:rPr>
                <w:rFonts w:hint="eastAsia" w:ascii="宋体" w:hAnsi="宋体"/>
                <w:sz w:val="15"/>
                <w:szCs w:val="15"/>
              </w:rPr>
            </w:pPr>
            <w:r>
              <w:rPr>
                <w:rFonts w:hint="eastAsia" w:ascii="宋体" w:hAnsi="宋体"/>
                <w:sz w:val="15"/>
                <w:szCs w:val="15"/>
              </w:rPr>
              <w:t>5</w:t>
            </w:r>
          </w:p>
        </w:tc>
        <w:tc>
          <w:tcPr>
            <w:tcW w:w="1423" w:type="pct"/>
            <w:tcBorders>
              <w:tl2br w:val="nil"/>
              <w:tr2bl w:val="nil"/>
            </w:tcBorders>
            <w:shd w:val="clear" w:color="auto" w:fill="auto"/>
            <w:vAlign w:val="center"/>
          </w:tcPr>
          <w:p w14:paraId="01C1E328">
            <w:pPr>
              <w:spacing w:before="0" w:after="0" w:line="240" w:lineRule="auto"/>
              <w:ind w:firstLine="0"/>
              <w:rPr>
                <w:rFonts w:hint="eastAsia" w:ascii="宋体" w:hAnsi="宋体"/>
                <w:sz w:val="15"/>
                <w:szCs w:val="15"/>
              </w:rPr>
            </w:pPr>
            <w:r>
              <w:rPr>
                <w:rFonts w:hint="eastAsia" w:ascii="宋体" w:hAnsi="宋体"/>
                <w:sz w:val="15"/>
                <w:szCs w:val="15"/>
              </w:rPr>
              <w:t>卖方在服务过程中，应遵守买方《运维五条禁令》及其他各项规章制度。</w:t>
            </w:r>
          </w:p>
        </w:tc>
        <w:tc>
          <w:tcPr>
            <w:tcW w:w="1388" w:type="pct"/>
            <w:tcBorders>
              <w:tl2br w:val="nil"/>
              <w:tr2bl w:val="nil"/>
            </w:tcBorders>
            <w:shd w:val="clear" w:color="auto" w:fill="auto"/>
            <w:vAlign w:val="center"/>
          </w:tcPr>
          <w:p w14:paraId="06342FC1">
            <w:pPr>
              <w:spacing w:before="0" w:after="0" w:line="240" w:lineRule="auto"/>
              <w:ind w:firstLine="0"/>
              <w:rPr>
                <w:rFonts w:hint="eastAsia" w:ascii="宋体" w:hAnsi="宋体"/>
                <w:sz w:val="15"/>
                <w:szCs w:val="15"/>
              </w:rPr>
            </w:pPr>
            <w:r>
              <w:rPr>
                <w:rFonts w:hint="eastAsia" w:ascii="宋体" w:hAnsi="宋体"/>
                <w:sz w:val="15"/>
                <w:szCs w:val="15"/>
              </w:rPr>
              <w:t>对违反《运维五条禁令》的情况，每次扣5分，其他违反买方规章制度的情况，每次扣1分。</w:t>
            </w:r>
          </w:p>
        </w:tc>
      </w:tr>
      <w:tr w14:paraId="0B2F44F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20" w:hRule="atLeast"/>
        </w:trPr>
        <w:tc>
          <w:tcPr>
            <w:tcW w:w="790" w:type="pct"/>
            <w:vMerge w:val="continue"/>
            <w:tcBorders>
              <w:tl2br w:val="nil"/>
              <w:tr2bl w:val="nil"/>
            </w:tcBorders>
            <w:shd w:val="clear" w:color="auto" w:fill="auto"/>
            <w:vAlign w:val="center"/>
          </w:tcPr>
          <w:p w14:paraId="1E4E8A9A">
            <w:pPr>
              <w:spacing w:before="0" w:after="0" w:line="240" w:lineRule="auto"/>
              <w:ind w:firstLine="0"/>
              <w:rPr>
                <w:rFonts w:hint="eastAsia" w:ascii="宋体" w:hAnsi="宋体"/>
                <w:sz w:val="15"/>
                <w:szCs w:val="15"/>
              </w:rPr>
            </w:pPr>
          </w:p>
        </w:tc>
        <w:tc>
          <w:tcPr>
            <w:tcW w:w="894" w:type="pct"/>
            <w:tcBorders>
              <w:tl2br w:val="nil"/>
              <w:tr2bl w:val="nil"/>
            </w:tcBorders>
            <w:shd w:val="clear" w:color="auto" w:fill="auto"/>
            <w:vAlign w:val="center"/>
          </w:tcPr>
          <w:p w14:paraId="4627E736">
            <w:pPr>
              <w:spacing w:before="0" w:after="0" w:line="240" w:lineRule="auto"/>
              <w:ind w:firstLine="0"/>
              <w:rPr>
                <w:rFonts w:hint="eastAsia" w:ascii="宋体" w:hAnsi="宋体"/>
                <w:sz w:val="15"/>
                <w:szCs w:val="15"/>
              </w:rPr>
            </w:pPr>
            <w:r>
              <w:rPr>
                <w:rFonts w:hint="eastAsia" w:ascii="宋体" w:hAnsi="宋体"/>
                <w:sz w:val="15"/>
                <w:szCs w:val="15"/>
              </w:rPr>
              <w:t>服务主动性</w:t>
            </w:r>
          </w:p>
        </w:tc>
        <w:tc>
          <w:tcPr>
            <w:tcW w:w="503" w:type="pct"/>
            <w:tcBorders>
              <w:tl2br w:val="nil"/>
              <w:tr2bl w:val="nil"/>
            </w:tcBorders>
            <w:shd w:val="clear" w:color="auto" w:fill="auto"/>
            <w:vAlign w:val="center"/>
          </w:tcPr>
          <w:p w14:paraId="03DDD9BA">
            <w:pPr>
              <w:spacing w:before="0" w:after="0" w:line="240" w:lineRule="auto"/>
              <w:ind w:firstLine="0"/>
              <w:rPr>
                <w:rFonts w:hint="eastAsia" w:ascii="宋体" w:hAnsi="宋体"/>
                <w:sz w:val="15"/>
                <w:szCs w:val="15"/>
              </w:rPr>
            </w:pPr>
            <w:r>
              <w:rPr>
                <w:rFonts w:hint="eastAsia" w:ascii="宋体" w:hAnsi="宋体"/>
                <w:sz w:val="15"/>
                <w:szCs w:val="15"/>
              </w:rPr>
              <w:t>5</w:t>
            </w:r>
          </w:p>
        </w:tc>
        <w:tc>
          <w:tcPr>
            <w:tcW w:w="1423" w:type="pct"/>
            <w:tcBorders>
              <w:tl2br w:val="nil"/>
              <w:tr2bl w:val="nil"/>
            </w:tcBorders>
            <w:shd w:val="clear" w:color="auto" w:fill="auto"/>
            <w:vAlign w:val="center"/>
          </w:tcPr>
          <w:p w14:paraId="70F65AEE">
            <w:pPr>
              <w:spacing w:before="0" w:after="0" w:line="240" w:lineRule="auto"/>
              <w:ind w:firstLine="0"/>
              <w:rPr>
                <w:rFonts w:hint="eastAsia" w:ascii="宋体" w:hAnsi="宋体"/>
                <w:sz w:val="15"/>
                <w:szCs w:val="15"/>
              </w:rPr>
            </w:pPr>
            <w:r>
              <w:rPr>
                <w:rFonts w:hint="eastAsia" w:ascii="宋体" w:hAnsi="宋体"/>
                <w:sz w:val="15"/>
                <w:szCs w:val="15"/>
              </w:rPr>
              <w:t>有计划地组织巡检、用户回访、技术交流得主动服务情况</w:t>
            </w:r>
          </w:p>
        </w:tc>
        <w:tc>
          <w:tcPr>
            <w:tcW w:w="1388" w:type="pct"/>
            <w:tcBorders>
              <w:tl2br w:val="nil"/>
              <w:tr2bl w:val="nil"/>
            </w:tcBorders>
            <w:shd w:val="clear" w:color="auto" w:fill="auto"/>
            <w:vAlign w:val="center"/>
          </w:tcPr>
          <w:p w14:paraId="360B5CAA">
            <w:pPr>
              <w:spacing w:before="0" w:after="0" w:line="240" w:lineRule="auto"/>
              <w:ind w:firstLine="0"/>
              <w:rPr>
                <w:rFonts w:hint="eastAsia" w:ascii="宋体" w:hAnsi="宋体"/>
                <w:sz w:val="15"/>
                <w:szCs w:val="15"/>
              </w:rPr>
            </w:pPr>
            <w:r>
              <w:rPr>
                <w:rFonts w:hint="eastAsia" w:ascii="宋体" w:hAnsi="宋体"/>
                <w:sz w:val="15"/>
                <w:szCs w:val="15"/>
              </w:rPr>
              <w:t>巡检计划安排合理、细致，积极开展用户回访，并定期交流，得2分</w:t>
            </w:r>
          </w:p>
          <w:p w14:paraId="6CEEB781">
            <w:pPr>
              <w:spacing w:before="0" w:after="0" w:line="240" w:lineRule="auto"/>
              <w:ind w:firstLine="0"/>
              <w:rPr>
                <w:rFonts w:hint="eastAsia" w:ascii="宋体" w:hAnsi="宋体"/>
                <w:sz w:val="15"/>
                <w:szCs w:val="15"/>
              </w:rPr>
            </w:pPr>
            <w:r>
              <w:rPr>
                <w:rFonts w:hint="eastAsia" w:ascii="宋体" w:hAnsi="宋体"/>
                <w:sz w:val="15"/>
                <w:szCs w:val="15"/>
              </w:rPr>
              <w:t>巡检计划安排合理，定期开展用户回访，得1分；</w:t>
            </w:r>
          </w:p>
          <w:p w14:paraId="1D02B039">
            <w:pPr>
              <w:spacing w:before="0" w:after="0" w:line="240" w:lineRule="auto"/>
              <w:ind w:firstLine="0"/>
              <w:rPr>
                <w:rFonts w:hint="eastAsia" w:ascii="宋体" w:hAnsi="宋体"/>
                <w:sz w:val="15"/>
                <w:szCs w:val="15"/>
              </w:rPr>
            </w:pPr>
            <w:r>
              <w:rPr>
                <w:rFonts w:hint="eastAsia" w:ascii="宋体" w:hAnsi="宋体"/>
                <w:sz w:val="15"/>
                <w:szCs w:val="15"/>
              </w:rPr>
              <w:t>无巡检计划或者巡检计划形式化，基本无回访、无交流，得0分。</w:t>
            </w:r>
          </w:p>
        </w:tc>
      </w:tr>
      <w:tr w14:paraId="152CD0E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20" w:hRule="atLeast"/>
        </w:trPr>
        <w:tc>
          <w:tcPr>
            <w:tcW w:w="790" w:type="pct"/>
            <w:vMerge w:val="continue"/>
            <w:tcBorders>
              <w:tl2br w:val="nil"/>
              <w:tr2bl w:val="nil"/>
            </w:tcBorders>
            <w:shd w:val="clear" w:color="auto" w:fill="auto"/>
            <w:vAlign w:val="center"/>
          </w:tcPr>
          <w:p w14:paraId="2F756B6F">
            <w:pPr>
              <w:spacing w:before="0" w:after="0" w:line="240" w:lineRule="auto"/>
              <w:ind w:firstLine="0"/>
              <w:rPr>
                <w:rFonts w:hint="eastAsia" w:ascii="宋体" w:hAnsi="宋体"/>
                <w:sz w:val="15"/>
                <w:szCs w:val="15"/>
              </w:rPr>
            </w:pPr>
          </w:p>
        </w:tc>
        <w:tc>
          <w:tcPr>
            <w:tcW w:w="894" w:type="pct"/>
            <w:tcBorders>
              <w:tl2br w:val="nil"/>
              <w:tr2bl w:val="nil"/>
            </w:tcBorders>
            <w:shd w:val="clear" w:color="auto" w:fill="auto"/>
            <w:vAlign w:val="center"/>
          </w:tcPr>
          <w:p w14:paraId="46A7418A">
            <w:pPr>
              <w:spacing w:before="0" w:after="0" w:line="240" w:lineRule="auto"/>
              <w:ind w:firstLine="0"/>
              <w:rPr>
                <w:rFonts w:hint="eastAsia" w:ascii="宋体" w:hAnsi="宋体"/>
                <w:sz w:val="15"/>
                <w:szCs w:val="15"/>
              </w:rPr>
            </w:pPr>
            <w:r>
              <w:rPr>
                <w:rFonts w:hint="eastAsia" w:ascii="宋体" w:hAnsi="宋体"/>
                <w:sz w:val="15"/>
                <w:szCs w:val="15"/>
              </w:rPr>
              <w:t>服务响应速度</w:t>
            </w:r>
          </w:p>
        </w:tc>
        <w:tc>
          <w:tcPr>
            <w:tcW w:w="503" w:type="pct"/>
            <w:tcBorders>
              <w:tl2br w:val="nil"/>
              <w:tr2bl w:val="nil"/>
            </w:tcBorders>
            <w:shd w:val="clear" w:color="auto" w:fill="auto"/>
            <w:vAlign w:val="center"/>
          </w:tcPr>
          <w:p w14:paraId="198A1829">
            <w:pPr>
              <w:spacing w:before="0" w:after="0" w:line="240" w:lineRule="auto"/>
              <w:ind w:firstLine="0"/>
              <w:rPr>
                <w:rFonts w:hint="eastAsia" w:ascii="宋体" w:hAnsi="宋体"/>
                <w:sz w:val="15"/>
                <w:szCs w:val="15"/>
              </w:rPr>
            </w:pPr>
            <w:r>
              <w:rPr>
                <w:rFonts w:hint="eastAsia" w:ascii="宋体" w:hAnsi="宋体"/>
                <w:sz w:val="15"/>
                <w:szCs w:val="15"/>
              </w:rPr>
              <w:t>5</w:t>
            </w:r>
          </w:p>
        </w:tc>
        <w:tc>
          <w:tcPr>
            <w:tcW w:w="1423" w:type="pct"/>
            <w:tcBorders>
              <w:tl2br w:val="nil"/>
              <w:tr2bl w:val="nil"/>
            </w:tcBorders>
            <w:shd w:val="clear" w:color="auto" w:fill="auto"/>
            <w:vAlign w:val="center"/>
          </w:tcPr>
          <w:p w14:paraId="61CDAC3E">
            <w:pPr>
              <w:spacing w:before="0" w:after="0" w:line="240" w:lineRule="auto"/>
              <w:ind w:firstLine="0"/>
              <w:rPr>
                <w:rFonts w:hint="eastAsia" w:ascii="宋体" w:hAnsi="宋体"/>
                <w:sz w:val="15"/>
                <w:szCs w:val="15"/>
              </w:rPr>
            </w:pPr>
            <w:r>
              <w:rPr>
                <w:rFonts w:hint="eastAsia" w:ascii="宋体" w:hAnsi="宋体"/>
                <w:sz w:val="15"/>
                <w:szCs w:val="15"/>
              </w:rPr>
              <w:t>是否能够及时响应，且能及时找到服务人员</w:t>
            </w:r>
          </w:p>
        </w:tc>
        <w:tc>
          <w:tcPr>
            <w:tcW w:w="1388" w:type="pct"/>
            <w:tcBorders>
              <w:tl2br w:val="nil"/>
              <w:tr2bl w:val="nil"/>
            </w:tcBorders>
            <w:shd w:val="clear" w:color="auto" w:fill="auto"/>
            <w:vAlign w:val="center"/>
          </w:tcPr>
          <w:p w14:paraId="2A55AE13">
            <w:pPr>
              <w:spacing w:before="0" w:after="0" w:line="240" w:lineRule="auto"/>
              <w:ind w:firstLine="0"/>
              <w:rPr>
                <w:rFonts w:hint="eastAsia" w:ascii="宋体" w:hAnsi="宋体"/>
                <w:sz w:val="15"/>
                <w:szCs w:val="15"/>
              </w:rPr>
            </w:pPr>
            <w:r>
              <w:rPr>
                <w:rFonts w:hint="eastAsia" w:ascii="宋体" w:hAnsi="宋体"/>
                <w:sz w:val="15"/>
                <w:szCs w:val="15"/>
              </w:rPr>
              <w:t>绝大多数情况立即响应，且能及时找到服务人员，得5分；</w:t>
            </w:r>
          </w:p>
          <w:p w14:paraId="3403E9CB">
            <w:pPr>
              <w:spacing w:before="0" w:after="0" w:line="240" w:lineRule="auto"/>
              <w:ind w:firstLine="0"/>
              <w:rPr>
                <w:rFonts w:hint="eastAsia" w:ascii="宋体" w:hAnsi="宋体"/>
                <w:sz w:val="15"/>
                <w:szCs w:val="15"/>
              </w:rPr>
            </w:pPr>
            <w:r>
              <w:rPr>
                <w:rFonts w:hint="eastAsia" w:ascii="宋体" w:hAnsi="宋体"/>
                <w:sz w:val="15"/>
                <w:szCs w:val="15"/>
              </w:rPr>
              <w:t xml:space="preserve">经常响应不及时，或者不易找到服务人员，得0分。 </w:t>
            </w:r>
          </w:p>
        </w:tc>
      </w:tr>
      <w:tr w14:paraId="49B37DE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20" w:hRule="atLeast"/>
        </w:trPr>
        <w:tc>
          <w:tcPr>
            <w:tcW w:w="790" w:type="pct"/>
            <w:vMerge w:val="continue"/>
            <w:tcBorders>
              <w:tl2br w:val="nil"/>
              <w:tr2bl w:val="nil"/>
            </w:tcBorders>
            <w:shd w:val="clear" w:color="auto" w:fill="auto"/>
            <w:vAlign w:val="center"/>
          </w:tcPr>
          <w:p w14:paraId="73565A85">
            <w:pPr>
              <w:spacing w:before="0" w:after="0" w:line="240" w:lineRule="auto"/>
              <w:ind w:firstLine="0"/>
              <w:rPr>
                <w:rFonts w:hint="eastAsia" w:ascii="宋体" w:hAnsi="宋体"/>
                <w:sz w:val="15"/>
                <w:szCs w:val="15"/>
              </w:rPr>
            </w:pPr>
          </w:p>
        </w:tc>
        <w:tc>
          <w:tcPr>
            <w:tcW w:w="894" w:type="pct"/>
            <w:tcBorders>
              <w:tl2br w:val="nil"/>
              <w:tr2bl w:val="nil"/>
            </w:tcBorders>
            <w:shd w:val="clear" w:color="auto" w:fill="auto"/>
            <w:vAlign w:val="center"/>
          </w:tcPr>
          <w:p w14:paraId="52DB9A26">
            <w:pPr>
              <w:spacing w:before="0" w:after="0" w:line="240" w:lineRule="auto"/>
              <w:ind w:firstLine="0"/>
              <w:rPr>
                <w:rFonts w:hint="eastAsia" w:ascii="宋体" w:hAnsi="宋体"/>
                <w:sz w:val="15"/>
                <w:szCs w:val="15"/>
              </w:rPr>
            </w:pPr>
            <w:r>
              <w:rPr>
                <w:rFonts w:hint="eastAsia" w:ascii="宋体" w:hAnsi="宋体"/>
                <w:sz w:val="15"/>
                <w:szCs w:val="15"/>
              </w:rPr>
              <w:t>服务配合程度</w:t>
            </w:r>
          </w:p>
        </w:tc>
        <w:tc>
          <w:tcPr>
            <w:tcW w:w="503" w:type="pct"/>
            <w:tcBorders>
              <w:tl2br w:val="nil"/>
              <w:tr2bl w:val="nil"/>
            </w:tcBorders>
            <w:shd w:val="clear" w:color="auto" w:fill="auto"/>
            <w:vAlign w:val="center"/>
          </w:tcPr>
          <w:p w14:paraId="4DB58B21">
            <w:pPr>
              <w:spacing w:before="0" w:after="0" w:line="240" w:lineRule="auto"/>
              <w:ind w:firstLine="0"/>
              <w:rPr>
                <w:rFonts w:hint="eastAsia" w:ascii="宋体" w:hAnsi="宋体"/>
                <w:sz w:val="15"/>
                <w:szCs w:val="15"/>
              </w:rPr>
            </w:pPr>
            <w:r>
              <w:rPr>
                <w:rFonts w:hint="eastAsia" w:ascii="宋体" w:hAnsi="宋体"/>
                <w:sz w:val="15"/>
                <w:szCs w:val="15"/>
              </w:rPr>
              <w:t>5</w:t>
            </w:r>
          </w:p>
        </w:tc>
        <w:tc>
          <w:tcPr>
            <w:tcW w:w="1423" w:type="pct"/>
            <w:tcBorders>
              <w:tl2br w:val="nil"/>
              <w:tr2bl w:val="nil"/>
            </w:tcBorders>
            <w:shd w:val="clear" w:color="auto" w:fill="auto"/>
            <w:vAlign w:val="center"/>
          </w:tcPr>
          <w:p w14:paraId="48A75D56">
            <w:pPr>
              <w:spacing w:before="0" w:after="0" w:line="240" w:lineRule="auto"/>
              <w:ind w:firstLine="0"/>
              <w:rPr>
                <w:rFonts w:hint="eastAsia" w:ascii="宋体" w:hAnsi="宋体"/>
                <w:sz w:val="15"/>
                <w:szCs w:val="15"/>
              </w:rPr>
            </w:pPr>
            <w:r>
              <w:rPr>
                <w:rFonts w:hint="eastAsia" w:ascii="宋体" w:hAnsi="宋体"/>
                <w:sz w:val="15"/>
                <w:szCs w:val="15"/>
              </w:rPr>
              <w:t>供应商是否可以在任何情况下提供配合服务</w:t>
            </w:r>
          </w:p>
        </w:tc>
        <w:tc>
          <w:tcPr>
            <w:tcW w:w="1388" w:type="pct"/>
            <w:tcBorders>
              <w:tl2br w:val="nil"/>
              <w:tr2bl w:val="nil"/>
            </w:tcBorders>
            <w:shd w:val="clear" w:color="auto" w:fill="auto"/>
            <w:vAlign w:val="center"/>
          </w:tcPr>
          <w:p w14:paraId="57B478BE">
            <w:pPr>
              <w:spacing w:before="0" w:after="0" w:line="240" w:lineRule="auto"/>
              <w:ind w:firstLine="0"/>
              <w:rPr>
                <w:rFonts w:hint="eastAsia" w:ascii="宋体" w:hAnsi="宋体"/>
                <w:sz w:val="15"/>
                <w:szCs w:val="15"/>
              </w:rPr>
            </w:pPr>
            <w:r>
              <w:rPr>
                <w:rFonts w:hint="eastAsia" w:ascii="宋体" w:hAnsi="宋体"/>
                <w:sz w:val="15"/>
                <w:szCs w:val="15"/>
              </w:rPr>
              <w:t>绝大部分情况下可以进行积极配合，得5分；</w:t>
            </w:r>
          </w:p>
          <w:p w14:paraId="4188FC52">
            <w:pPr>
              <w:spacing w:before="0" w:after="0" w:line="240" w:lineRule="auto"/>
              <w:ind w:firstLine="0"/>
              <w:rPr>
                <w:rFonts w:hint="eastAsia" w:ascii="宋体" w:hAnsi="宋体"/>
                <w:sz w:val="15"/>
                <w:szCs w:val="15"/>
              </w:rPr>
            </w:pPr>
            <w:r>
              <w:rPr>
                <w:rFonts w:hint="eastAsia" w:ascii="宋体" w:hAnsi="宋体"/>
                <w:sz w:val="15"/>
                <w:szCs w:val="15"/>
              </w:rPr>
              <w:t>部分情况下可以进行配合，得2分；</w:t>
            </w:r>
          </w:p>
          <w:p w14:paraId="3F44B3D3">
            <w:pPr>
              <w:spacing w:before="0" w:after="0" w:line="240" w:lineRule="auto"/>
              <w:ind w:firstLine="0"/>
              <w:rPr>
                <w:rFonts w:hint="eastAsia" w:ascii="宋体" w:hAnsi="宋体"/>
                <w:sz w:val="15"/>
                <w:szCs w:val="15"/>
              </w:rPr>
            </w:pPr>
            <w:r>
              <w:rPr>
                <w:rFonts w:hint="eastAsia" w:ascii="宋体" w:hAnsi="宋体"/>
                <w:sz w:val="15"/>
                <w:szCs w:val="15"/>
              </w:rPr>
              <w:t xml:space="preserve">大部分情况配合程度较差或者不配合，得0分。 </w:t>
            </w:r>
          </w:p>
        </w:tc>
      </w:tr>
      <w:tr w14:paraId="0EBB353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20" w:hRule="atLeast"/>
        </w:trPr>
        <w:tc>
          <w:tcPr>
            <w:tcW w:w="790" w:type="pct"/>
            <w:vMerge w:val="restart"/>
            <w:tcBorders>
              <w:tl2br w:val="nil"/>
              <w:tr2bl w:val="nil"/>
            </w:tcBorders>
            <w:shd w:val="clear" w:color="auto" w:fill="auto"/>
            <w:vAlign w:val="center"/>
          </w:tcPr>
          <w:p w14:paraId="05F2792A">
            <w:pPr>
              <w:spacing w:before="0" w:after="0" w:line="240" w:lineRule="auto"/>
              <w:ind w:firstLine="0"/>
              <w:rPr>
                <w:rFonts w:hint="eastAsia" w:ascii="宋体" w:hAnsi="宋体"/>
                <w:sz w:val="15"/>
                <w:szCs w:val="15"/>
              </w:rPr>
            </w:pPr>
            <w:r>
              <w:rPr>
                <w:rFonts w:hint="eastAsia" w:ascii="宋体" w:hAnsi="宋体"/>
                <w:sz w:val="15"/>
                <w:szCs w:val="15"/>
              </w:rPr>
              <w:t>安全</w:t>
            </w:r>
          </w:p>
          <w:p w14:paraId="421EFD1A">
            <w:pPr>
              <w:spacing w:before="0" w:after="0" w:line="240" w:lineRule="auto"/>
              <w:ind w:firstLine="0"/>
              <w:rPr>
                <w:rFonts w:hint="eastAsia" w:ascii="宋体" w:hAnsi="宋体"/>
                <w:sz w:val="15"/>
                <w:szCs w:val="15"/>
              </w:rPr>
            </w:pPr>
            <w:r>
              <w:rPr>
                <w:rFonts w:hint="eastAsia" w:ascii="宋体" w:hAnsi="宋体"/>
                <w:sz w:val="15"/>
                <w:szCs w:val="15"/>
              </w:rPr>
              <w:t>（15）</w:t>
            </w:r>
          </w:p>
        </w:tc>
        <w:tc>
          <w:tcPr>
            <w:tcW w:w="894" w:type="pct"/>
            <w:tcBorders>
              <w:tl2br w:val="nil"/>
              <w:tr2bl w:val="nil"/>
            </w:tcBorders>
            <w:shd w:val="clear" w:color="auto" w:fill="auto"/>
            <w:vAlign w:val="center"/>
          </w:tcPr>
          <w:p w14:paraId="39E094CE">
            <w:pPr>
              <w:spacing w:before="0" w:after="0" w:line="240" w:lineRule="auto"/>
              <w:ind w:firstLine="0"/>
              <w:rPr>
                <w:rFonts w:hint="eastAsia" w:ascii="宋体" w:hAnsi="宋体"/>
                <w:sz w:val="15"/>
                <w:szCs w:val="15"/>
              </w:rPr>
            </w:pPr>
            <w:r>
              <w:rPr>
                <w:rFonts w:hint="eastAsia" w:ascii="宋体" w:hAnsi="宋体"/>
                <w:sz w:val="15"/>
                <w:szCs w:val="15"/>
              </w:rPr>
              <w:t>信息安全管理</w:t>
            </w:r>
          </w:p>
        </w:tc>
        <w:tc>
          <w:tcPr>
            <w:tcW w:w="503" w:type="pct"/>
            <w:tcBorders>
              <w:tl2br w:val="nil"/>
              <w:tr2bl w:val="nil"/>
            </w:tcBorders>
            <w:shd w:val="clear" w:color="auto" w:fill="auto"/>
            <w:vAlign w:val="center"/>
          </w:tcPr>
          <w:p w14:paraId="77B96BD0">
            <w:pPr>
              <w:spacing w:before="0" w:after="0" w:line="240" w:lineRule="auto"/>
              <w:ind w:firstLine="0"/>
              <w:rPr>
                <w:rFonts w:hint="eastAsia" w:ascii="宋体" w:hAnsi="宋体"/>
                <w:sz w:val="15"/>
                <w:szCs w:val="15"/>
              </w:rPr>
            </w:pPr>
            <w:r>
              <w:rPr>
                <w:rFonts w:hint="eastAsia" w:ascii="宋体" w:hAnsi="宋体"/>
                <w:sz w:val="15"/>
                <w:szCs w:val="15"/>
              </w:rPr>
              <w:t>5</w:t>
            </w:r>
          </w:p>
        </w:tc>
        <w:tc>
          <w:tcPr>
            <w:tcW w:w="1423" w:type="pct"/>
            <w:tcBorders>
              <w:tl2br w:val="nil"/>
              <w:tr2bl w:val="nil"/>
            </w:tcBorders>
            <w:shd w:val="clear" w:color="auto" w:fill="auto"/>
            <w:vAlign w:val="center"/>
          </w:tcPr>
          <w:p w14:paraId="1F6A079F">
            <w:pPr>
              <w:spacing w:before="0" w:after="0" w:line="240" w:lineRule="auto"/>
              <w:ind w:firstLine="0"/>
              <w:rPr>
                <w:rFonts w:hint="eastAsia" w:ascii="宋体" w:hAnsi="宋体"/>
                <w:sz w:val="15"/>
                <w:szCs w:val="15"/>
              </w:rPr>
            </w:pPr>
            <w:r>
              <w:rPr>
                <w:rFonts w:hint="eastAsia" w:ascii="宋体" w:hAnsi="宋体"/>
                <w:sz w:val="15"/>
                <w:szCs w:val="15"/>
              </w:rPr>
              <w:t>供应商需具备信息安全管理制度，涵盖人员、设备、操作管理。每季度开展 1 次信息安全培训，有完整记录（计划、签到、课件、评估）。</w:t>
            </w:r>
          </w:p>
        </w:tc>
        <w:tc>
          <w:tcPr>
            <w:tcW w:w="1388" w:type="pct"/>
            <w:tcBorders>
              <w:tl2br w:val="nil"/>
              <w:tr2bl w:val="nil"/>
            </w:tcBorders>
            <w:shd w:val="clear" w:color="auto" w:fill="auto"/>
            <w:vAlign w:val="center"/>
          </w:tcPr>
          <w:p w14:paraId="41B31862">
            <w:pPr>
              <w:spacing w:before="0" w:after="0" w:line="240" w:lineRule="auto"/>
              <w:ind w:firstLine="0"/>
              <w:rPr>
                <w:rFonts w:hint="eastAsia" w:ascii="宋体" w:hAnsi="宋体"/>
                <w:sz w:val="15"/>
                <w:szCs w:val="15"/>
              </w:rPr>
            </w:pPr>
            <w:r>
              <w:rPr>
                <w:rFonts w:hint="eastAsia" w:ascii="宋体" w:hAnsi="宋体"/>
                <w:sz w:val="15"/>
                <w:szCs w:val="15"/>
              </w:rPr>
              <w:t>安全管理制度缺一项内容扣 1 分，扣完为止。​未定期开展信息安全培训扣 2 分；记录不全，缺一项扣 1 分，扣完为止。​</w:t>
            </w:r>
          </w:p>
        </w:tc>
      </w:tr>
      <w:tr w14:paraId="1064260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20" w:hRule="atLeast"/>
        </w:trPr>
        <w:tc>
          <w:tcPr>
            <w:tcW w:w="790" w:type="pct"/>
            <w:vMerge w:val="continue"/>
            <w:tcBorders>
              <w:tl2br w:val="nil"/>
              <w:tr2bl w:val="nil"/>
            </w:tcBorders>
            <w:shd w:val="clear" w:color="auto" w:fill="auto"/>
            <w:vAlign w:val="center"/>
          </w:tcPr>
          <w:p w14:paraId="3EF5D2CE">
            <w:pPr>
              <w:spacing w:before="0" w:after="0" w:line="240" w:lineRule="auto"/>
              <w:ind w:firstLine="0"/>
              <w:rPr>
                <w:rFonts w:hint="eastAsia" w:ascii="宋体" w:hAnsi="宋体"/>
                <w:sz w:val="15"/>
                <w:szCs w:val="15"/>
              </w:rPr>
            </w:pPr>
          </w:p>
        </w:tc>
        <w:tc>
          <w:tcPr>
            <w:tcW w:w="894" w:type="pct"/>
            <w:tcBorders>
              <w:tl2br w:val="nil"/>
              <w:tr2bl w:val="nil"/>
            </w:tcBorders>
            <w:shd w:val="clear" w:color="auto" w:fill="auto"/>
            <w:vAlign w:val="center"/>
          </w:tcPr>
          <w:p w14:paraId="77A4EF6A">
            <w:pPr>
              <w:spacing w:before="0" w:after="0" w:line="240" w:lineRule="auto"/>
              <w:ind w:firstLine="0"/>
              <w:rPr>
                <w:rFonts w:hint="eastAsia" w:ascii="宋体" w:hAnsi="宋体"/>
                <w:sz w:val="15"/>
                <w:szCs w:val="15"/>
              </w:rPr>
            </w:pPr>
            <w:r>
              <w:rPr>
                <w:rFonts w:hint="eastAsia" w:ascii="宋体" w:hAnsi="宋体"/>
                <w:sz w:val="15"/>
                <w:szCs w:val="15"/>
              </w:rPr>
              <w:t>数据安全保障</w:t>
            </w:r>
          </w:p>
        </w:tc>
        <w:tc>
          <w:tcPr>
            <w:tcW w:w="503" w:type="pct"/>
            <w:tcBorders>
              <w:tl2br w:val="nil"/>
              <w:tr2bl w:val="nil"/>
            </w:tcBorders>
            <w:shd w:val="clear" w:color="auto" w:fill="auto"/>
            <w:vAlign w:val="center"/>
          </w:tcPr>
          <w:p w14:paraId="0D81B9C2">
            <w:pPr>
              <w:spacing w:before="0" w:after="0" w:line="240" w:lineRule="auto"/>
              <w:ind w:firstLine="0"/>
              <w:rPr>
                <w:rFonts w:hint="eastAsia" w:ascii="宋体" w:hAnsi="宋体"/>
                <w:sz w:val="15"/>
                <w:szCs w:val="15"/>
              </w:rPr>
            </w:pPr>
            <w:r>
              <w:rPr>
                <w:rFonts w:hint="eastAsia" w:ascii="宋体" w:hAnsi="宋体"/>
                <w:sz w:val="15"/>
                <w:szCs w:val="15"/>
              </w:rPr>
              <w:t>5</w:t>
            </w:r>
          </w:p>
        </w:tc>
        <w:tc>
          <w:tcPr>
            <w:tcW w:w="1423" w:type="pct"/>
            <w:tcBorders>
              <w:tl2br w:val="nil"/>
              <w:tr2bl w:val="nil"/>
            </w:tcBorders>
            <w:shd w:val="clear" w:color="auto" w:fill="auto"/>
            <w:vAlign w:val="center"/>
          </w:tcPr>
          <w:p w14:paraId="44C011E1">
            <w:pPr>
              <w:spacing w:before="0" w:after="0" w:line="240" w:lineRule="auto"/>
              <w:ind w:firstLine="0"/>
              <w:rPr>
                <w:rFonts w:hint="eastAsia" w:ascii="宋体" w:hAnsi="宋体"/>
                <w:sz w:val="15"/>
                <w:szCs w:val="15"/>
              </w:rPr>
            </w:pPr>
            <w:r>
              <w:rPr>
                <w:rFonts w:hint="eastAsia" w:ascii="宋体" w:hAnsi="宋体"/>
                <w:sz w:val="15"/>
                <w:szCs w:val="15"/>
              </w:rPr>
              <w:t>供应商应建立数据采集、存储（AES-256 加密等）、传输（SSL/TLS 协议）、使用（访问日志）环节安全措施。</w:t>
            </w:r>
          </w:p>
          <w:p w14:paraId="177ACCBE">
            <w:pPr>
              <w:spacing w:before="0" w:after="0" w:line="240" w:lineRule="auto"/>
              <w:ind w:firstLine="0"/>
              <w:rPr>
                <w:rFonts w:hint="eastAsia" w:ascii="宋体" w:hAnsi="宋体"/>
                <w:sz w:val="15"/>
                <w:szCs w:val="15"/>
              </w:rPr>
            </w:pPr>
            <w:r>
              <w:rPr>
                <w:rFonts w:hint="eastAsia" w:ascii="宋体" w:hAnsi="宋体"/>
                <w:sz w:val="15"/>
                <w:szCs w:val="15"/>
              </w:rPr>
              <w:t>建立每日增量、每周全量备份机制，每月恢复测试通过，备份异地存储。</w:t>
            </w:r>
          </w:p>
          <w:p w14:paraId="5D0D4CFE">
            <w:pPr>
              <w:spacing w:before="0" w:after="0" w:line="240" w:lineRule="auto"/>
              <w:ind w:firstLine="0"/>
              <w:rPr>
                <w:rFonts w:hint="eastAsia" w:ascii="宋体" w:hAnsi="宋体"/>
                <w:sz w:val="15"/>
                <w:szCs w:val="15"/>
              </w:rPr>
            </w:pPr>
            <w:r>
              <w:rPr>
                <w:rFonts w:hint="eastAsia" w:ascii="宋体" w:hAnsi="宋体"/>
                <w:sz w:val="15"/>
                <w:szCs w:val="15"/>
              </w:rPr>
              <w:t>敏感数据用角色访问控制，授权人员访问需双因素认证。</w:t>
            </w:r>
          </w:p>
        </w:tc>
        <w:tc>
          <w:tcPr>
            <w:tcW w:w="1388" w:type="pct"/>
            <w:tcBorders>
              <w:tl2br w:val="nil"/>
              <w:tr2bl w:val="nil"/>
            </w:tcBorders>
            <w:shd w:val="clear" w:color="auto" w:fill="auto"/>
            <w:vAlign w:val="center"/>
          </w:tcPr>
          <w:p w14:paraId="624FA069">
            <w:pPr>
              <w:spacing w:before="0" w:after="0" w:line="240" w:lineRule="auto"/>
              <w:ind w:firstLine="0"/>
              <w:rPr>
                <w:rFonts w:hint="eastAsia" w:ascii="宋体" w:hAnsi="宋体"/>
                <w:sz w:val="15"/>
                <w:szCs w:val="15"/>
              </w:rPr>
            </w:pPr>
            <w:r>
              <w:rPr>
                <w:rFonts w:hint="eastAsia" w:ascii="宋体" w:hAnsi="宋体"/>
                <w:sz w:val="15"/>
                <w:szCs w:val="15"/>
              </w:rPr>
              <w:t>安全措施一个环节不达标扣 1 分，扣完为止。</w:t>
            </w:r>
          </w:p>
          <w:p w14:paraId="23C9CAD1">
            <w:pPr>
              <w:spacing w:before="0" w:after="0" w:line="240" w:lineRule="auto"/>
              <w:ind w:firstLine="0"/>
              <w:rPr>
                <w:rFonts w:hint="eastAsia" w:ascii="宋体" w:hAnsi="宋体"/>
                <w:sz w:val="15"/>
                <w:szCs w:val="15"/>
              </w:rPr>
            </w:pPr>
            <w:r>
              <w:rPr>
                <w:rFonts w:hint="eastAsia" w:ascii="宋体" w:hAnsi="宋体"/>
                <w:sz w:val="15"/>
                <w:szCs w:val="15"/>
              </w:rPr>
              <w:t>未建备份机制扣 3 分；备份不及时或测试未过扣 2 分。</w:t>
            </w:r>
          </w:p>
          <w:p w14:paraId="0F767245">
            <w:pPr>
              <w:spacing w:before="0" w:after="0" w:line="240" w:lineRule="auto"/>
              <w:ind w:firstLine="0"/>
              <w:rPr>
                <w:rFonts w:hint="eastAsia" w:ascii="宋体" w:hAnsi="宋体"/>
                <w:sz w:val="15"/>
                <w:szCs w:val="15"/>
              </w:rPr>
            </w:pPr>
            <w:r>
              <w:rPr>
                <w:rFonts w:hint="eastAsia" w:ascii="宋体" w:hAnsi="宋体"/>
                <w:sz w:val="15"/>
                <w:szCs w:val="15"/>
              </w:rPr>
              <w:t>敏感数据访问未控制或措施不到位扣 3 分。</w:t>
            </w:r>
          </w:p>
          <w:p w14:paraId="4E0A7956">
            <w:pPr>
              <w:spacing w:before="0" w:after="0" w:line="240" w:lineRule="auto"/>
              <w:ind w:firstLine="0"/>
              <w:rPr>
                <w:rFonts w:hint="eastAsia" w:ascii="宋体" w:hAnsi="宋体"/>
                <w:sz w:val="15"/>
                <w:szCs w:val="15"/>
              </w:rPr>
            </w:pPr>
            <w:r>
              <w:rPr>
                <w:rFonts w:hint="eastAsia" w:ascii="宋体" w:hAnsi="宋体"/>
                <w:sz w:val="15"/>
                <w:szCs w:val="15"/>
              </w:rPr>
              <w:t>​</w:t>
            </w:r>
          </w:p>
          <w:p w14:paraId="02DDC1E5">
            <w:pPr>
              <w:spacing w:before="0" w:after="0" w:line="240" w:lineRule="auto"/>
              <w:ind w:firstLine="0"/>
              <w:rPr>
                <w:rFonts w:hint="eastAsia" w:ascii="宋体" w:hAnsi="宋体"/>
                <w:sz w:val="15"/>
                <w:szCs w:val="15"/>
              </w:rPr>
            </w:pPr>
          </w:p>
        </w:tc>
      </w:tr>
      <w:tr w14:paraId="127F2EE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20" w:hRule="atLeast"/>
        </w:trPr>
        <w:tc>
          <w:tcPr>
            <w:tcW w:w="790" w:type="pct"/>
            <w:vMerge w:val="continue"/>
            <w:tcBorders>
              <w:tl2br w:val="nil"/>
              <w:tr2bl w:val="nil"/>
            </w:tcBorders>
            <w:shd w:val="clear" w:color="auto" w:fill="auto"/>
            <w:vAlign w:val="center"/>
          </w:tcPr>
          <w:p w14:paraId="6D13274B">
            <w:pPr>
              <w:spacing w:before="0" w:after="0" w:line="240" w:lineRule="auto"/>
              <w:ind w:firstLine="0"/>
              <w:rPr>
                <w:rFonts w:hint="eastAsia" w:ascii="宋体" w:hAnsi="宋体"/>
                <w:sz w:val="15"/>
                <w:szCs w:val="15"/>
              </w:rPr>
            </w:pPr>
          </w:p>
        </w:tc>
        <w:tc>
          <w:tcPr>
            <w:tcW w:w="894" w:type="pct"/>
            <w:tcBorders>
              <w:tl2br w:val="nil"/>
              <w:tr2bl w:val="nil"/>
            </w:tcBorders>
            <w:shd w:val="clear" w:color="auto" w:fill="auto"/>
            <w:vAlign w:val="center"/>
          </w:tcPr>
          <w:p w14:paraId="12D74FCD">
            <w:pPr>
              <w:spacing w:before="0" w:after="0" w:line="240" w:lineRule="auto"/>
              <w:ind w:firstLine="0"/>
              <w:rPr>
                <w:rFonts w:hint="eastAsia" w:ascii="宋体" w:hAnsi="宋体"/>
                <w:sz w:val="15"/>
                <w:szCs w:val="15"/>
              </w:rPr>
            </w:pPr>
            <w:r>
              <w:rPr>
                <w:rFonts w:hint="eastAsia" w:ascii="宋体" w:hAnsi="宋体"/>
                <w:sz w:val="15"/>
                <w:szCs w:val="15"/>
              </w:rPr>
              <w:t>安全事件响应</w:t>
            </w:r>
          </w:p>
        </w:tc>
        <w:tc>
          <w:tcPr>
            <w:tcW w:w="503" w:type="pct"/>
            <w:tcBorders>
              <w:tl2br w:val="nil"/>
              <w:tr2bl w:val="nil"/>
            </w:tcBorders>
            <w:shd w:val="clear" w:color="auto" w:fill="auto"/>
            <w:vAlign w:val="center"/>
          </w:tcPr>
          <w:p w14:paraId="691D2025">
            <w:pPr>
              <w:spacing w:before="0" w:after="0" w:line="240" w:lineRule="auto"/>
              <w:ind w:firstLine="0"/>
              <w:rPr>
                <w:rFonts w:hint="eastAsia" w:ascii="宋体" w:hAnsi="宋体"/>
                <w:sz w:val="15"/>
                <w:szCs w:val="15"/>
              </w:rPr>
            </w:pPr>
            <w:r>
              <w:rPr>
                <w:rFonts w:hint="eastAsia" w:ascii="宋体" w:hAnsi="宋体"/>
                <w:sz w:val="15"/>
                <w:szCs w:val="15"/>
              </w:rPr>
              <w:t>5</w:t>
            </w:r>
          </w:p>
        </w:tc>
        <w:tc>
          <w:tcPr>
            <w:tcW w:w="1423" w:type="pct"/>
            <w:tcBorders>
              <w:tl2br w:val="nil"/>
              <w:tr2bl w:val="nil"/>
            </w:tcBorders>
            <w:shd w:val="clear" w:color="auto" w:fill="auto"/>
            <w:vAlign w:val="center"/>
          </w:tcPr>
          <w:p w14:paraId="1D671FE2">
            <w:pPr>
              <w:spacing w:before="0" w:after="0" w:line="240" w:lineRule="auto"/>
              <w:ind w:firstLine="0"/>
              <w:rPr>
                <w:rFonts w:hint="eastAsia" w:ascii="宋体" w:hAnsi="宋体"/>
                <w:sz w:val="15"/>
                <w:szCs w:val="15"/>
              </w:rPr>
            </w:pPr>
            <w:r>
              <w:rPr>
                <w:rFonts w:hint="eastAsia" w:ascii="宋体" w:hAnsi="宋体"/>
                <w:sz w:val="15"/>
                <w:szCs w:val="15"/>
              </w:rPr>
              <w:t>供应商需制定有含分级、流程、团队、资源的应急预案，每年至少 1 次演练。</w:t>
            </w:r>
          </w:p>
          <w:p w14:paraId="183EDEEC">
            <w:pPr>
              <w:spacing w:before="0" w:after="0" w:line="240" w:lineRule="auto"/>
              <w:ind w:firstLine="0"/>
              <w:rPr>
                <w:rFonts w:hint="eastAsia" w:ascii="宋体" w:hAnsi="宋体"/>
                <w:sz w:val="15"/>
                <w:szCs w:val="15"/>
              </w:rPr>
            </w:pPr>
            <w:r>
              <w:rPr>
                <w:rFonts w:hint="eastAsia" w:ascii="宋体" w:hAnsi="宋体"/>
                <w:sz w:val="15"/>
                <w:szCs w:val="15"/>
              </w:rPr>
              <w:t>安全事件或数据泄露 2 小时内书面上报甲方，含时间、地点、原因、影响等。</w:t>
            </w:r>
          </w:p>
          <w:p w14:paraId="3EFAB197">
            <w:pPr>
              <w:spacing w:before="0" w:after="0" w:line="240" w:lineRule="auto"/>
              <w:ind w:firstLine="0"/>
              <w:rPr>
                <w:rFonts w:hint="eastAsia" w:ascii="宋体" w:hAnsi="宋体"/>
                <w:sz w:val="15"/>
                <w:szCs w:val="15"/>
              </w:rPr>
            </w:pPr>
            <w:r>
              <w:rPr>
                <w:rFonts w:hint="eastAsia" w:ascii="宋体" w:hAnsi="宋体"/>
                <w:sz w:val="15"/>
                <w:szCs w:val="15"/>
              </w:rPr>
              <w:t>安全事件 1 小时内启动响应，24 小时内提交处置报告。7 个工作日内完成安全事件调查，1 个月内落实整改。</w:t>
            </w:r>
          </w:p>
          <w:p w14:paraId="327BCDFD">
            <w:pPr>
              <w:spacing w:before="0" w:after="0" w:line="240" w:lineRule="auto"/>
              <w:ind w:firstLine="0"/>
              <w:rPr>
                <w:rFonts w:hint="eastAsia" w:ascii="宋体" w:hAnsi="宋体"/>
                <w:sz w:val="15"/>
                <w:szCs w:val="15"/>
              </w:rPr>
            </w:pPr>
          </w:p>
        </w:tc>
        <w:tc>
          <w:tcPr>
            <w:tcW w:w="1388" w:type="pct"/>
            <w:tcBorders>
              <w:tl2br w:val="nil"/>
              <w:tr2bl w:val="nil"/>
            </w:tcBorders>
            <w:shd w:val="clear" w:color="auto" w:fill="auto"/>
            <w:vAlign w:val="center"/>
          </w:tcPr>
          <w:p w14:paraId="529A3E79">
            <w:pPr>
              <w:spacing w:before="0" w:after="0" w:line="240" w:lineRule="auto"/>
              <w:ind w:firstLine="0"/>
              <w:rPr>
                <w:rFonts w:hint="eastAsia" w:ascii="宋体" w:hAnsi="宋体"/>
                <w:sz w:val="15"/>
                <w:szCs w:val="15"/>
              </w:rPr>
            </w:pPr>
            <w:r>
              <w:rPr>
                <w:rFonts w:hint="eastAsia" w:ascii="宋体" w:hAnsi="宋体"/>
                <w:sz w:val="15"/>
                <w:szCs w:val="15"/>
              </w:rPr>
              <w:t>未制应急预案扣 3 分；内容不全扣 1 分。​</w:t>
            </w:r>
          </w:p>
          <w:p w14:paraId="025B8074">
            <w:pPr>
              <w:spacing w:before="0" w:after="0" w:line="240" w:lineRule="auto"/>
              <w:ind w:firstLine="0"/>
              <w:rPr>
                <w:rFonts w:hint="eastAsia" w:ascii="宋体" w:hAnsi="宋体"/>
                <w:sz w:val="15"/>
                <w:szCs w:val="15"/>
              </w:rPr>
            </w:pPr>
            <w:r>
              <w:rPr>
                <w:rFonts w:hint="eastAsia" w:ascii="宋体" w:hAnsi="宋体"/>
                <w:sz w:val="15"/>
                <w:szCs w:val="15"/>
              </w:rPr>
              <w:t>未按时上报安全事件每次扣 3 分。​</w:t>
            </w:r>
          </w:p>
          <w:p w14:paraId="0B5B831D">
            <w:pPr>
              <w:spacing w:before="0" w:after="0" w:line="240" w:lineRule="auto"/>
              <w:ind w:firstLine="0"/>
              <w:rPr>
                <w:rFonts w:hint="eastAsia" w:ascii="宋体" w:hAnsi="宋体"/>
                <w:sz w:val="15"/>
                <w:szCs w:val="15"/>
              </w:rPr>
            </w:pPr>
            <w:r>
              <w:rPr>
                <w:rFonts w:hint="eastAsia" w:ascii="宋体" w:hAnsi="宋体"/>
                <w:sz w:val="15"/>
                <w:szCs w:val="15"/>
              </w:rPr>
              <w:t>安全事件处置不当致造成损失，10 万以下扣 2 分，10-50 万扣 3 分，50 万以上扣 5 分。​</w:t>
            </w:r>
          </w:p>
          <w:p w14:paraId="50C1A004">
            <w:pPr>
              <w:spacing w:before="0" w:after="0" w:line="240" w:lineRule="auto"/>
              <w:ind w:firstLine="0"/>
              <w:rPr>
                <w:rFonts w:hint="eastAsia" w:ascii="宋体" w:hAnsi="宋体"/>
                <w:sz w:val="15"/>
                <w:szCs w:val="15"/>
              </w:rPr>
            </w:pPr>
            <w:r>
              <w:rPr>
                <w:rFonts w:hint="eastAsia" w:ascii="宋体" w:hAnsi="宋体"/>
                <w:sz w:val="15"/>
                <w:szCs w:val="15"/>
              </w:rPr>
              <w:t>对安全事件未调查或未整改每次扣 1 分。</w:t>
            </w:r>
          </w:p>
          <w:p w14:paraId="2F2497EE">
            <w:pPr>
              <w:spacing w:before="0" w:after="0" w:line="240" w:lineRule="auto"/>
              <w:ind w:firstLine="0"/>
              <w:rPr>
                <w:rFonts w:hint="eastAsia" w:ascii="宋体" w:hAnsi="宋体"/>
                <w:sz w:val="15"/>
                <w:szCs w:val="15"/>
              </w:rPr>
            </w:pPr>
          </w:p>
          <w:p w14:paraId="29E551E4">
            <w:pPr>
              <w:spacing w:before="0" w:after="0" w:line="240" w:lineRule="auto"/>
              <w:ind w:firstLine="0"/>
              <w:rPr>
                <w:rFonts w:hint="eastAsia" w:ascii="宋体" w:hAnsi="宋体"/>
                <w:sz w:val="15"/>
                <w:szCs w:val="15"/>
              </w:rPr>
            </w:pPr>
          </w:p>
          <w:p w14:paraId="5D8355CB">
            <w:pPr>
              <w:spacing w:before="0" w:after="0" w:line="240" w:lineRule="auto"/>
              <w:ind w:firstLine="0"/>
              <w:rPr>
                <w:rFonts w:hint="eastAsia" w:ascii="宋体" w:hAnsi="宋体"/>
                <w:sz w:val="15"/>
                <w:szCs w:val="15"/>
              </w:rPr>
            </w:pPr>
          </w:p>
        </w:tc>
      </w:tr>
      <w:tr w14:paraId="6B44A63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20" w:hRule="atLeast"/>
        </w:trPr>
        <w:tc>
          <w:tcPr>
            <w:tcW w:w="790" w:type="pct"/>
            <w:tcBorders>
              <w:tl2br w:val="nil"/>
              <w:tr2bl w:val="nil"/>
            </w:tcBorders>
            <w:shd w:val="clear" w:color="auto" w:fill="auto"/>
            <w:vAlign w:val="center"/>
          </w:tcPr>
          <w:p w14:paraId="34372BCF">
            <w:pPr>
              <w:spacing w:before="0" w:after="0" w:line="240" w:lineRule="auto"/>
              <w:ind w:firstLine="0"/>
              <w:rPr>
                <w:rFonts w:hint="eastAsia" w:ascii="宋体" w:hAnsi="宋体"/>
                <w:sz w:val="15"/>
                <w:szCs w:val="15"/>
              </w:rPr>
            </w:pPr>
            <w:r>
              <w:rPr>
                <w:rFonts w:hint="eastAsia" w:ascii="宋体" w:hAnsi="宋体"/>
                <w:sz w:val="15"/>
                <w:szCs w:val="15"/>
              </w:rPr>
              <w:t>综合扣分项</w:t>
            </w:r>
          </w:p>
        </w:tc>
        <w:tc>
          <w:tcPr>
            <w:tcW w:w="894" w:type="pct"/>
            <w:tcBorders>
              <w:tl2br w:val="nil"/>
              <w:tr2bl w:val="nil"/>
            </w:tcBorders>
            <w:shd w:val="clear" w:color="auto" w:fill="auto"/>
            <w:vAlign w:val="center"/>
          </w:tcPr>
          <w:p w14:paraId="43988083">
            <w:pPr>
              <w:spacing w:before="0" w:after="0" w:line="240" w:lineRule="auto"/>
              <w:ind w:firstLine="0"/>
              <w:rPr>
                <w:rFonts w:hint="eastAsia" w:ascii="宋体" w:hAnsi="宋体"/>
                <w:sz w:val="15"/>
                <w:szCs w:val="15"/>
              </w:rPr>
            </w:pPr>
            <w:r>
              <w:rPr>
                <w:rFonts w:hint="eastAsia" w:ascii="宋体" w:hAnsi="宋体"/>
                <w:sz w:val="15"/>
                <w:szCs w:val="15"/>
              </w:rPr>
              <w:t>质量问题解释的合理性</w:t>
            </w:r>
          </w:p>
        </w:tc>
        <w:tc>
          <w:tcPr>
            <w:tcW w:w="503" w:type="pct"/>
            <w:tcBorders>
              <w:tl2br w:val="nil"/>
              <w:tr2bl w:val="nil"/>
            </w:tcBorders>
            <w:shd w:val="clear" w:color="auto" w:fill="auto"/>
            <w:vAlign w:val="center"/>
          </w:tcPr>
          <w:p w14:paraId="4C86F309">
            <w:pPr>
              <w:spacing w:before="0" w:after="0" w:line="240" w:lineRule="auto"/>
              <w:ind w:firstLine="0"/>
              <w:rPr>
                <w:rFonts w:hint="eastAsia" w:ascii="宋体" w:hAnsi="宋体"/>
                <w:sz w:val="15"/>
                <w:szCs w:val="15"/>
              </w:rPr>
            </w:pPr>
            <w:r>
              <w:rPr>
                <w:rFonts w:hint="eastAsia" w:ascii="宋体" w:hAnsi="宋体"/>
                <w:sz w:val="15"/>
                <w:szCs w:val="15"/>
              </w:rPr>
              <w:t>扣分上限为20分</w:t>
            </w:r>
          </w:p>
        </w:tc>
        <w:tc>
          <w:tcPr>
            <w:tcW w:w="1423" w:type="pct"/>
            <w:tcBorders>
              <w:tl2br w:val="nil"/>
              <w:tr2bl w:val="nil"/>
            </w:tcBorders>
            <w:shd w:val="clear" w:color="auto" w:fill="auto"/>
            <w:vAlign w:val="center"/>
          </w:tcPr>
          <w:p w14:paraId="70268B1D">
            <w:pPr>
              <w:spacing w:before="0" w:after="0" w:line="240" w:lineRule="auto"/>
              <w:ind w:firstLine="0"/>
              <w:rPr>
                <w:rFonts w:hint="eastAsia" w:ascii="宋体" w:hAnsi="宋体"/>
                <w:sz w:val="15"/>
                <w:szCs w:val="15"/>
              </w:rPr>
            </w:pPr>
            <w:r>
              <w:rPr>
                <w:rFonts w:hint="eastAsia" w:ascii="宋体" w:hAnsi="宋体"/>
                <w:sz w:val="15"/>
                <w:szCs w:val="15"/>
              </w:rPr>
              <w:t>发生质量问题后，是否能够给出合理的解释，以及完整、有效的解决方案</w:t>
            </w:r>
          </w:p>
        </w:tc>
        <w:tc>
          <w:tcPr>
            <w:tcW w:w="1388" w:type="pct"/>
            <w:tcBorders>
              <w:tl2br w:val="nil"/>
              <w:tr2bl w:val="nil"/>
            </w:tcBorders>
            <w:shd w:val="clear" w:color="auto" w:fill="auto"/>
            <w:vAlign w:val="center"/>
          </w:tcPr>
          <w:p w14:paraId="11B3D87D">
            <w:pPr>
              <w:spacing w:before="0" w:after="0" w:line="240" w:lineRule="auto"/>
              <w:ind w:firstLine="0"/>
              <w:rPr>
                <w:rFonts w:hint="eastAsia" w:ascii="宋体" w:hAnsi="宋体"/>
                <w:sz w:val="15"/>
                <w:szCs w:val="15"/>
              </w:rPr>
            </w:pPr>
            <w:r>
              <w:rPr>
                <w:rFonts w:hint="eastAsia" w:ascii="宋体" w:hAnsi="宋体"/>
                <w:sz w:val="15"/>
                <w:szCs w:val="15"/>
              </w:rPr>
              <w:t>所有质量问题均能在问题发生48小时内给出问题说明，并提供有效、完整的解决方案，不扣分；</w:t>
            </w:r>
          </w:p>
          <w:p w14:paraId="3B84FE1D">
            <w:pPr>
              <w:spacing w:before="0" w:after="0" w:line="240" w:lineRule="auto"/>
              <w:ind w:firstLine="0"/>
              <w:rPr>
                <w:rFonts w:hint="eastAsia" w:ascii="宋体" w:hAnsi="宋体"/>
                <w:sz w:val="15"/>
                <w:szCs w:val="15"/>
              </w:rPr>
            </w:pPr>
            <w:r>
              <w:rPr>
                <w:rFonts w:hint="eastAsia" w:ascii="宋体" w:hAnsi="宋体"/>
                <w:sz w:val="15"/>
                <w:szCs w:val="15"/>
              </w:rPr>
              <w:t>可以在问题发生48小时内给出问题说明，但无法提供完整解决方案，每次扣2分；</w:t>
            </w:r>
          </w:p>
          <w:p w14:paraId="78157C0B">
            <w:pPr>
              <w:spacing w:before="0" w:after="0" w:line="240" w:lineRule="auto"/>
              <w:ind w:firstLine="0"/>
              <w:rPr>
                <w:rFonts w:hint="eastAsia" w:ascii="宋体" w:hAnsi="宋体"/>
                <w:sz w:val="15"/>
                <w:szCs w:val="15"/>
              </w:rPr>
            </w:pPr>
            <w:r>
              <w:rPr>
                <w:rFonts w:hint="eastAsia" w:ascii="宋体" w:hAnsi="宋体"/>
                <w:sz w:val="15"/>
                <w:szCs w:val="15"/>
              </w:rPr>
              <w:t>无法在问题发生48小时内给出问题说明，每次扣5分。</w:t>
            </w:r>
          </w:p>
        </w:tc>
      </w:tr>
    </w:tbl>
    <w:p w14:paraId="43A934F7">
      <w:pPr>
        <w:spacing w:before="0" w:after="0" w:line="240" w:lineRule="auto"/>
        <w:ind w:firstLine="0"/>
        <w:rPr>
          <w:rFonts w:hint="eastAsia" w:ascii="宋体" w:hAnsi="宋体"/>
          <w:sz w:val="15"/>
          <w:szCs w:val="15"/>
        </w:rPr>
      </w:pPr>
    </w:p>
    <w:p w14:paraId="4D61CF5B">
      <w:pPr>
        <w:pStyle w:val="38"/>
        <w:numPr>
          <w:ilvl w:val="2"/>
          <w:numId w:val="1"/>
        </w:numPr>
        <w:outlineLvl w:val="2"/>
        <w:rPr>
          <w:rFonts w:hint="eastAsia"/>
        </w:rPr>
      </w:pPr>
      <w:bookmarkStart w:id="46" w:name="_Toc456084063"/>
      <w:bookmarkStart w:id="47" w:name="_Toc16146"/>
      <w:bookmarkStart w:id="48" w:name="_Toc499537941"/>
      <w:bookmarkStart w:id="49" w:name="_Toc16854"/>
      <w:bookmarkStart w:id="50" w:name="_Toc514291871"/>
      <w:bookmarkStart w:id="51" w:name="_Toc322550544"/>
      <w:bookmarkStart w:id="52" w:name="_Toc483507763"/>
      <w:bookmarkStart w:id="53" w:name="_Toc476284182"/>
      <w:bookmarkStart w:id="54" w:name="_Toc477095310"/>
      <w:bookmarkStart w:id="55" w:name="_Toc26932831"/>
      <w:bookmarkStart w:id="56" w:name="_Toc454176976"/>
      <w:bookmarkStart w:id="57" w:name="_Toc26932871"/>
      <w:bookmarkStart w:id="58" w:name="_Toc476818231"/>
      <w:bookmarkStart w:id="59" w:name="_Toc439232400"/>
      <w:bookmarkStart w:id="60" w:name="_Toc26932973"/>
      <w:bookmarkStart w:id="61" w:name="_Toc392854252"/>
      <w:bookmarkStart w:id="62" w:name="_Toc23926785"/>
      <w:bookmarkStart w:id="63" w:name="_Toc28950901"/>
      <w:r>
        <w:rPr>
          <w:rFonts w:hint="eastAsia"/>
        </w:rPr>
        <w:t>考核支付条件</w:t>
      </w:r>
      <w:bookmarkEnd w:id="46"/>
      <w:bookmarkEnd w:id="47"/>
      <w:bookmarkEnd w:id="48"/>
      <w:bookmarkEnd w:id="49"/>
    </w:p>
    <w:bookmarkEnd w:id="50"/>
    <w:bookmarkEnd w:id="51"/>
    <w:bookmarkEnd w:id="52"/>
    <w:bookmarkEnd w:id="53"/>
    <w:bookmarkEnd w:id="54"/>
    <w:bookmarkEnd w:id="55"/>
    <w:bookmarkEnd w:id="56"/>
    <w:bookmarkEnd w:id="57"/>
    <w:bookmarkEnd w:id="58"/>
    <w:bookmarkEnd w:id="59"/>
    <w:bookmarkEnd w:id="60"/>
    <w:bookmarkEnd w:id="61"/>
    <w:bookmarkEnd w:id="62"/>
    <w:bookmarkEnd w:id="63"/>
    <w:p w14:paraId="3C5CB7EA">
      <w:pPr>
        <w:spacing w:before="0" w:after="0" w:line="240" w:lineRule="auto"/>
        <w:ind w:firstLine="300"/>
        <w:rPr>
          <w:rFonts w:hint="eastAsia" w:ascii="宋体" w:hAnsi="宋体"/>
          <w:color w:val="FF0000"/>
          <w:sz w:val="15"/>
          <w:szCs w:val="15"/>
        </w:rPr>
      </w:pPr>
      <w:r>
        <w:rPr>
          <w:rFonts w:hint="eastAsia" w:ascii="宋体" w:hAnsi="宋体" w:eastAsia="宋体" w:cs="Times New Roman"/>
          <w:color w:val="FF0000"/>
          <w:sz w:val="15"/>
          <w:szCs w:val="15"/>
        </w:rPr>
        <w:t>6.2.1 合同应付款核定：本项目买方将委托具备资质或能力的第三方专业机构对本次平台定制化软件开发服务的工作量进行评估。评估工作量高于报价表中数量的，按合同签约金额作为合同应付款，评估工作量低于报价表中数量的，则按（评估工作量×不含税单价）作为合同应付款。</w:t>
      </w:r>
    </w:p>
    <w:p w14:paraId="4C086E63">
      <w:pPr>
        <w:spacing w:before="0" w:after="0" w:line="240" w:lineRule="auto"/>
        <w:ind w:firstLine="300"/>
        <w:rPr>
          <w:rFonts w:hint="eastAsia" w:ascii="宋体" w:hAnsi="宋体"/>
          <w:color w:val="FF0000"/>
          <w:sz w:val="15"/>
          <w:szCs w:val="15"/>
        </w:rPr>
      </w:pPr>
      <w:r>
        <w:rPr>
          <w:rFonts w:hint="eastAsia" w:ascii="宋体" w:hAnsi="宋体" w:eastAsia="宋体" w:cs="Times New Roman"/>
          <w:color w:val="FF0000"/>
          <w:sz w:val="15"/>
          <w:szCs w:val="15"/>
        </w:rPr>
        <w:t>（注：①评估工作量指买方委托具备资质或能力的第三方专业机构对本次平台定制化软件开发服务工作量进行评估的评估结果。②不含税单价指此次平台开发服务的报价表中“不含税单价报价”。）</w:t>
      </w:r>
    </w:p>
    <w:p w14:paraId="7A7FB8C2">
      <w:pPr>
        <w:spacing w:before="0" w:after="0" w:line="240" w:lineRule="auto"/>
        <w:ind w:firstLine="300"/>
        <w:rPr>
          <w:rFonts w:hint="eastAsia" w:ascii="宋体" w:hAnsi="宋体"/>
          <w:color w:val="FF0000"/>
          <w:sz w:val="15"/>
          <w:szCs w:val="15"/>
        </w:rPr>
      </w:pPr>
      <w:r>
        <w:rPr>
          <w:rFonts w:hint="eastAsia" w:ascii="宋体" w:hAnsi="宋体" w:eastAsia="宋体" w:cs="Times New Roman"/>
          <w:color w:val="FF0000"/>
          <w:sz w:val="15"/>
          <w:szCs w:val="15"/>
        </w:rPr>
        <w:t>6.2.2 考核期内满分为100分，根据扣分情况付款计算方式如下：</w:t>
      </w:r>
    </w:p>
    <w:p w14:paraId="10DFE0CB">
      <w:pPr>
        <w:spacing w:before="0" w:after="0" w:line="240" w:lineRule="auto"/>
        <w:ind w:firstLine="300"/>
        <w:rPr>
          <w:rFonts w:hint="eastAsia" w:ascii="宋体" w:hAnsi="宋体"/>
          <w:color w:val="FF0000"/>
          <w:sz w:val="15"/>
          <w:szCs w:val="15"/>
        </w:rPr>
      </w:pPr>
      <w:r>
        <w:rPr>
          <w:rFonts w:hint="eastAsia" w:ascii="宋体" w:hAnsi="宋体" w:eastAsia="宋体" w:cs="Times New Roman"/>
          <w:color w:val="FF0000"/>
          <w:sz w:val="15"/>
          <w:szCs w:val="15"/>
        </w:rPr>
        <w:t>（1）当考核得分=100分时，支付当期合同应付款项的全款；</w:t>
      </w:r>
    </w:p>
    <w:p w14:paraId="77BF7807">
      <w:pPr>
        <w:spacing w:before="0" w:after="0" w:line="240" w:lineRule="auto"/>
        <w:ind w:firstLine="300"/>
        <w:rPr>
          <w:rFonts w:hint="eastAsia" w:ascii="宋体" w:hAnsi="宋体"/>
          <w:color w:val="FF0000"/>
          <w:sz w:val="15"/>
          <w:szCs w:val="15"/>
        </w:rPr>
      </w:pPr>
      <w:r>
        <w:rPr>
          <w:rFonts w:hint="eastAsia" w:ascii="宋体" w:hAnsi="宋体" w:eastAsia="宋体" w:cs="Times New Roman"/>
          <w:color w:val="FF0000"/>
          <w:sz w:val="15"/>
          <w:szCs w:val="15"/>
        </w:rPr>
        <w:t>（2）100＞当考核得分≥60分时，当期合同应付款项=合同应付款×（考核周期考核得分/100）。</w:t>
      </w:r>
    </w:p>
    <w:p w14:paraId="076C8BCC">
      <w:pPr>
        <w:spacing w:before="0" w:after="0" w:line="240" w:lineRule="auto"/>
        <w:ind w:firstLine="300"/>
        <w:rPr>
          <w:rFonts w:hint="eastAsia" w:ascii="宋体" w:hAnsi="宋体"/>
          <w:color w:val="FF0000"/>
          <w:sz w:val="15"/>
          <w:szCs w:val="15"/>
        </w:rPr>
      </w:pPr>
      <w:r>
        <w:rPr>
          <w:rFonts w:hint="eastAsia" w:ascii="宋体" w:hAnsi="宋体" w:eastAsia="宋体" w:cs="Times New Roman"/>
          <w:color w:val="FF0000"/>
          <w:sz w:val="15"/>
          <w:szCs w:val="15"/>
        </w:rPr>
        <w:t>（3）当考核评分&lt;60分时，终止合同并按贵州移动供应商管理办法对卖方进行相应处理。</w:t>
      </w:r>
    </w:p>
    <w:p w14:paraId="6A3BD046">
      <w:pPr>
        <w:spacing w:before="0" w:after="0" w:line="240" w:lineRule="auto"/>
        <w:ind w:firstLine="300"/>
        <w:rPr>
          <w:rFonts w:hint="eastAsia"/>
          <w:color w:val="FF0000"/>
          <w:sz w:val="15"/>
          <w:szCs w:val="15"/>
        </w:rPr>
      </w:pPr>
      <w:r>
        <w:rPr>
          <w:rFonts w:hint="eastAsia" w:ascii="宋体" w:hAnsi="宋体" w:eastAsia="宋体" w:cs="Times New Roman"/>
          <w:color w:val="FF0000"/>
          <w:sz w:val="15"/>
          <w:szCs w:val="15"/>
        </w:rPr>
        <w:t>当期合同应付款项按合同应付款并结合考核评分表考核后的得分情况进行支付</w:t>
      </w:r>
      <w:r>
        <w:rPr>
          <w:rFonts w:hint="eastAsia"/>
          <w:color w:val="FF0000"/>
          <w:sz w:val="15"/>
          <w:szCs w:val="15"/>
        </w:rPr>
        <w:t>。</w:t>
      </w:r>
    </w:p>
    <w:p w14:paraId="50741260">
      <w:pPr>
        <w:ind w:firstLine="0"/>
      </w:pPr>
    </w:p>
    <w:p w14:paraId="553B5A2A">
      <w:pPr>
        <w:ind w:firstLine="0"/>
      </w:pPr>
    </w:p>
    <w:p w14:paraId="2B24508A">
      <w:pPr>
        <w:ind w:firstLine="0"/>
        <w:rPr>
          <w:rFonts w:hint="eastAsia"/>
        </w:rPr>
      </w:pPr>
    </w:p>
    <w:p w14:paraId="1385CB1B">
      <w:pPr>
        <w:pStyle w:val="38"/>
        <w:numPr>
          <w:ilvl w:val="0"/>
          <w:numId w:val="1"/>
        </w:numPr>
        <w:outlineLvl w:val="0"/>
        <w:rPr>
          <w:rFonts w:hint="eastAsia"/>
        </w:rPr>
      </w:pPr>
      <w:r>
        <w:rPr>
          <w:rFonts w:hint="eastAsia"/>
        </w:rPr>
        <w:t>项目理解</w:t>
      </w:r>
    </w:p>
    <w:p w14:paraId="0F2BB5BC">
      <w:pPr>
        <w:ind w:firstLine="0"/>
        <w:rPr>
          <w:rFonts w:hint="eastAsia"/>
        </w:rPr>
      </w:pPr>
    </w:p>
    <w:p w14:paraId="3A8EEA89">
      <w:pPr>
        <w:ind w:firstLine="0"/>
        <w:rPr>
          <w:rFonts w:hint="eastAsia"/>
        </w:rPr>
      </w:pPr>
    </w:p>
    <w:p w14:paraId="348EDAA8">
      <w:pPr>
        <w:pStyle w:val="38"/>
        <w:numPr>
          <w:ilvl w:val="0"/>
          <w:numId w:val="1"/>
        </w:numPr>
        <w:outlineLvl w:val="0"/>
        <w:rPr>
          <w:rFonts w:hint="eastAsia"/>
        </w:rPr>
      </w:pPr>
      <w:r>
        <w:rPr>
          <w:rFonts w:hint="eastAsia"/>
        </w:rPr>
        <w:t>系统架构</w:t>
      </w:r>
    </w:p>
    <w:p w14:paraId="6FFFAE0D">
      <w:pPr>
        <w:pStyle w:val="38"/>
        <w:numPr>
          <w:ilvl w:val="1"/>
          <w:numId w:val="1"/>
        </w:numPr>
        <w:outlineLvl w:val="1"/>
        <w:rPr>
          <w:rFonts w:hint="eastAsia"/>
        </w:rPr>
      </w:pPr>
      <w:r>
        <w:rPr>
          <w:rFonts w:hint="eastAsia"/>
        </w:rPr>
        <w:t>系统整体架构</w:t>
      </w:r>
    </w:p>
    <w:p w14:paraId="32480C1E">
      <w:pPr>
        <w:ind w:firstLine="0"/>
        <w:rPr>
          <w:rFonts w:hint="eastAsia"/>
        </w:rPr>
      </w:pPr>
    </w:p>
    <w:p w14:paraId="69873B0A">
      <w:pPr>
        <w:pStyle w:val="38"/>
        <w:numPr>
          <w:ilvl w:val="1"/>
          <w:numId w:val="1"/>
        </w:numPr>
        <w:outlineLvl w:val="1"/>
        <w:rPr>
          <w:rFonts w:hint="eastAsia"/>
        </w:rPr>
      </w:pPr>
      <w:r>
        <w:rPr>
          <w:rFonts w:hint="eastAsia"/>
        </w:rPr>
        <w:t>功能架构</w:t>
      </w:r>
    </w:p>
    <w:p w14:paraId="534ADFC7">
      <w:pPr>
        <w:ind w:firstLine="0"/>
        <w:rPr>
          <w:rFonts w:hint="eastAsia"/>
        </w:rPr>
      </w:pPr>
    </w:p>
    <w:p w14:paraId="1E4A7BF6">
      <w:pPr>
        <w:pStyle w:val="38"/>
        <w:numPr>
          <w:ilvl w:val="1"/>
          <w:numId w:val="1"/>
        </w:numPr>
        <w:outlineLvl w:val="1"/>
        <w:rPr>
          <w:rFonts w:hint="eastAsia"/>
        </w:rPr>
      </w:pPr>
      <w:r>
        <w:rPr>
          <w:rFonts w:hint="eastAsia"/>
        </w:rPr>
        <w:t>技术架构</w:t>
      </w:r>
    </w:p>
    <w:p w14:paraId="586EB5B2">
      <w:pPr>
        <w:ind w:firstLine="0"/>
        <w:rPr>
          <w:rFonts w:hint="eastAsia"/>
        </w:rPr>
      </w:pPr>
    </w:p>
    <w:p w14:paraId="05B343D3">
      <w:pPr>
        <w:pStyle w:val="38"/>
        <w:numPr>
          <w:ilvl w:val="1"/>
          <w:numId w:val="1"/>
        </w:numPr>
        <w:outlineLvl w:val="1"/>
        <w:rPr>
          <w:rFonts w:hint="eastAsia"/>
        </w:rPr>
      </w:pPr>
      <w:r>
        <w:rPr>
          <w:rFonts w:hint="eastAsia"/>
        </w:rPr>
        <w:t>部署方案</w:t>
      </w:r>
    </w:p>
    <w:p w14:paraId="7E3A827C">
      <w:pPr>
        <w:ind w:firstLine="0"/>
        <w:rPr>
          <w:rFonts w:hint="eastAsia"/>
        </w:rPr>
      </w:pPr>
    </w:p>
    <w:p w14:paraId="7CC722A6">
      <w:pPr>
        <w:pStyle w:val="38"/>
        <w:numPr>
          <w:ilvl w:val="0"/>
          <w:numId w:val="1"/>
        </w:numPr>
        <w:outlineLvl w:val="0"/>
        <w:rPr>
          <w:rFonts w:hint="eastAsia"/>
        </w:rPr>
      </w:pPr>
      <w:r>
        <w:rPr>
          <w:rFonts w:hint="eastAsia"/>
        </w:rPr>
        <w:t>系统功能设计</w:t>
      </w:r>
    </w:p>
    <w:p w14:paraId="6271A191">
      <w:pPr>
        <w:ind w:firstLine="0"/>
        <w:rPr>
          <w:rFonts w:hint="eastAsia"/>
        </w:rPr>
      </w:pPr>
    </w:p>
    <w:p w14:paraId="53B2C3F7">
      <w:pPr>
        <w:pStyle w:val="38"/>
        <w:numPr>
          <w:ilvl w:val="1"/>
          <w:numId w:val="1"/>
        </w:numPr>
        <w:outlineLvl w:val="1"/>
        <w:rPr>
          <w:rFonts w:hint="eastAsia"/>
        </w:rPr>
      </w:pPr>
      <w:r>
        <w:rPr>
          <w:rFonts w:hint="eastAsia"/>
        </w:rPr>
        <w:t>AI运营门户</w:t>
      </w:r>
    </w:p>
    <w:p w14:paraId="36312529">
      <w:pPr>
        <w:ind w:firstLine="0"/>
        <w:rPr>
          <w:rFonts w:hint="eastAsia"/>
        </w:rPr>
      </w:pPr>
    </w:p>
    <w:p w14:paraId="2D15C2D7">
      <w:pPr>
        <w:pStyle w:val="38"/>
        <w:numPr>
          <w:ilvl w:val="2"/>
          <w:numId w:val="1"/>
        </w:numPr>
        <w:outlineLvl w:val="2"/>
        <w:rPr>
          <w:rFonts w:hint="eastAsia"/>
        </w:rPr>
      </w:pPr>
      <w:r>
        <w:rPr>
          <w:rFonts w:hint="eastAsia"/>
        </w:rPr>
        <w:t>门户首页</w:t>
      </w:r>
    </w:p>
    <w:p w14:paraId="31122356">
      <w:pPr>
        <w:ind w:firstLine="0"/>
        <w:rPr>
          <w:rFonts w:hint="eastAsia"/>
        </w:rPr>
      </w:pPr>
    </w:p>
    <w:p w14:paraId="36E075C4">
      <w:pPr>
        <w:pStyle w:val="38"/>
        <w:numPr>
          <w:ilvl w:val="2"/>
          <w:numId w:val="1"/>
        </w:numPr>
        <w:outlineLvl w:val="2"/>
        <w:rPr>
          <w:rFonts w:hint="eastAsia"/>
        </w:rPr>
      </w:pPr>
      <w:r>
        <w:rPr>
          <w:rFonts w:hint="eastAsia"/>
        </w:rPr>
        <w:t>模型广场</w:t>
      </w:r>
    </w:p>
    <w:p w14:paraId="4E2A3E3A">
      <w:pPr>
        <w:pStyle w:val="38"/>
        <w:numPr>
          <w:ilvl w:val="3"/>
          <w:numId w:val="1"/>
        </w:numPr>
        <w:outlineLvl w:val="3"/>
        <w:rPr>
          <w:rFonts w:hint="eastAsia"/>
        </w:rPr>
      </w:pPr>
      <w:r>
        <w:rPr>
          <w:rFonts w:hint="eastAsia"/>
        </w:rPr>
        <w:t>模型商城</w:t>
      </w:r>
    </w:p>
    <w:p w14:paraId="45A218B4">
      <w:pPr>
        <w:pStyle w:val="38"/>
        <w:numPr>
          <w:ilvl w:val="3"/>
          <w:numId w:val="1"/>
        </w:numPr>
        <w:outlineLvl w:val="3"/>
        <w:rPr>
          <w:rFonts w:hint="eastAsia"/>
        </w:rPr>
      </w:pPr>
      <w:r>
        <w:rPr>
          <w:rFonts w:hint="eastAsia"/>
        </w:rPr>
        <w:t>模型体验</w:t>
      </w:r>
    </w:p>
    <w:p w14:paraId="5C12BADD">
      <w:pPr>
        <w:pStyle w:val="38"/>
        <w:numPr>
          <w:ilvl w:val="3"/>
          <w:numId w:val="1"/>
        </w:numPr>
        <w:outlineLvl w:val="3"/>
        <w:rPr>
          <w:rFonts w:hint="eastAsia"/>
        </w:rPr>
      </w:pPr>
      <w:r>
        <w:commentReference w:id="0"/>
      </w:r>
      <w:r>
        <w:rPr>
          <w:rFonts w:hint="eastAsia"/>
          <w:highlight w:val="yellow"/>
        </w:rPr>
        <w:t>模型订购</w:t>
      </w:r>
    </w:p>
    <w:p w14:paraId="5597A83F">
      <w:pPr>
        <w:ind w:firstLine="0"/>
        <w:rPr>
          <w:rFonts w:hint="eastAsia"/>
        </w:rPr>
      </w:pPr>
    </w:p>
    <w:p w14:paraId="361E4B4F">
      <w:pPr>
        <w:pStyle w:val="38"/>
        <w:numPr>
          <w:ilvl w:val="2"/>
          <w:numId w:val="1"/>
        </w:numPr>
        <w:outlineLvl w:val="2"/>
        <w:rPr>
          <w:rFonts w:hint="eastAsia"/>
          <w:highlight w:val="yellow"/>
        </w:rPr>
      </w:pPr>
      <w:r>
        <w:commentReference w:id="1"/>
      </w:r>
      <w:r>
        <w:rPr>
          <w:rFonts w:hint="eastAsia"/>
          <w:highlight w:val="yellow"/>
        </w:rPr>
        <w:t>应用广场</w:t>
      </w:r>
    </w:p>
    <w:p w14:paraId="2A95AAE6">
      <w:pPr>
        <w:pStyle w:val="38"/>
        <w:numPr>
          <w:ilvl w:val="3"/>
          <w:numId w:val="1"/>
        </w:numPr>
        <w:outlineLvl w:val="3"/>
        <w:rPr>
          <w:rFonts w:hint="eastAsia"/>
          <w:highlight w:val="yellow"/>
        </w:rPr>
      </w:pPr>
      <w:r>
        <w:rPr>
          <w:rFonts w:hint="eastAsia"/>
          <w:highlight w:val="yellow"/>
        </w:rPr>
        <w:t>应用商城</w:t>
      </w:r>
    </w:p>
    <w:p w14:paraId="4AC9F3A0">
      <w:pPr>
        <w:pStyle w:val="38"/>
        <w:numPr>
          <w:ilvl w:val="3"/>
          <w:numId w:val="1"/>
        </w:numPr>
        <w:outlineLvl w:val="3"/>
        <w:rPr>
          <w:rFonts w:hint="eastAsia"/>
          <w:highlight w:val="yellow"/>
        </w:rPr>
      </w:pPr>
      <w:r>
        <w:rPr>
          <w:rFonts w:hint="eastAsia"/>
          <w:highlight w:val="yellow"/>
        </w:rPr>
        <w:t>应用体验</w:t>
      </w:r>
    </w:p>
    <w:p w14:paraId="433BE80C">
      <w:pPr>
        <w:pStyle w:val="38"/>
        <w:numPr>
          <w:ilvl w:val="3"/>
          <w:numId w:val="1"/>
        </w:numPr>
        <w:outlineLvl w:val="3"/>
        <w:rPr>
          <w:rFonts w:hint="eastAsia"/>
          <w:highlight w:val="yellow"/>
        </w:rPr>
      </w:pPr>
      <w:r>
        <w:rPr>
          <w:rFonts w:hint="eastAsia"/>
          <w:highlight w:val="yellow"/>
        </w:rPr>
        <w:t>应用订购</w:t>
      </w:r>
    </w:p>
    <w:p w14:paraId="15BADBB8">
      <w:pPr>
        <w:ind w:firstLine="0"/>
        <w:rPr>
          <w:rFonts w:hint="eastAsia"/>
        </w:rPr>
      </w:pPr>
    </w:p>
    <w:p w14:paraId="4FA22B72">
      <w:pPr>
        <w:pStyle w:val="38"/>
        <w:numPr>
          <w:ilvl w:val="1"/>
          <w:numId w:val="1"/>
        </w:numPr>
        <w:outlineLvl w:val="1"/>
        <w:rPr>
          <w:rFonts w:hint="eastAsia"/>
        </w:rPr>
      </w:pPr>
      <w:r>
        <w:rPr>
          <w:rFonts w:hint="eastAsia"/>
        </w:rPr>
        <w:t>产品订购及运营</w:t>
      </w:r>
    </w:p>
    <w:p w14:paraId="5D01CB42">
      <w:pPr>
        <w:ind w:firstLine="0"/>
        <w:rPr>
          <w:rFonts w:hint="eastAsia"/>
        </w:rPr>
      </w:pPr>
    </w:p>
    <w:p w14:paraId="030229DA">
      <w:pPr>
        <w:pStyle w:val="38"/>
        <w:numPr>
          <w:ilvl w:val="2"/>
          <w:numId w:val="1"/>
        </w:numPr>
        <w:outlineLvl w:val="2"/>
        <w:rPr>
          <w:rFonts w:hint="eastAsia"/>
        </w:rPr>
      </w:pPr>
      <w:r>
        <w:rPr>
          <w:rFonts w:hint="eastAsia"/>
        </w:rPr>
        <w:t>产品管理</w:t>
      </w:r>
    </w:p>
    <w:p w14:paraId="16EE5BE8">
      <w:pPr>
        <w:pStyle w:val="38"/>
        <w:numPr>
          <w:ilvl w:val="3"/>
          <w:numId w:val="1"/>
        </w:numPr>
        <w:outlineLvl w:val="3"/>
      </w:pPr>
      <w:commentRangeStart w:id="2"/>
      <w:r>
        <w:rPr>
          <w:rFonts w:hint="eastAsia"/>
          <w:highlight w:val="yellow"/>
        </w:rPr>
        <w:t>生态伙伴管理</w:t>
      </w:r>
      <w:commentRangeEnd w:id="2"/>
      <w:r>
        <w:rPr>
          <w:highlight w:val="yellow"/>
        </w:rPr>
        <w:commentReference w:id="2"/>
      </w:r>
    </w:p>
    <w:p w14:paraId="2B39062C">
      <w:pPr>
        <w:numPr>
          <w:numId w:val="0"/>
        </w:numPr>
        <w:bidi w:val="0"/>
        <w:ind w:firstLine="560" w:firstLineChars="200"/>
        <w:jc w:val="left"/>
        <w:rPr>
          <w:rFonts w:hint="eastAsia"/>
          <w:lang w:eastAsia="zh-CN"/>
        </w:rPr>
      </w:pPr>
      <w:r>
        <w:rPr>
          <w:rFonts w:hint="eastAsia"/>
        </w:rPr>
        <w:t>生态伙伴管理系统支持在线申请、资质审核、分级管理功能。包含入驻表单提交、文件上传、状态标记、合作级别设置，提供列表查看与编辑操作。支持多级审核流程和权限控制，便于企业高效管理合作伙伴关系</w:t>
      </w:r>
      <w:r>
        <w:rPr>
          <w:rFonts w:hint="eastAsia"/>
          <w:lang w:eastAsia="zh-CN"/>
        </w:rPr>
        <w:t>。</w:t>
      </w:r>
    </w:p>
    <w:p w14:paraId="7695B01D">
      <w:pPr>
        <w:numPr>
          <w:numId w:val="0"/>
        </w:numPr>
        <w:bidi w:val="0"/>
        <w:jc w:val="center"/>
      </w:pPr>
      <w:r>
        <w:drawing>
          <wp:inline distT="0" distB="0" distL="114300" distR="114300">
            <wp:extent cx="5059680" cy="1170940"/>
            <wp:effectExtent l="0" t="0" r="0" b="254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5059680" cy="1170940"/>
                    </a:xfrm>
                    <a:prstGeom prst="rect">
                      <a:avLst/>
                    </a:prstGeom>
                    <a:noFill/>
                    <a:ln>
                      <a:noFill/>
                    </a:ln>
                  </pic:spPr>
                </pic:pic>
              </a:graphicData>
            </a:graphic>
          </wp:inline>
        </w:drawing>
      </w:r>
    </w:p>
    <w:p w14:paraId="1649C806">
      <w:pPr>
        <w:pStyle w:val="2"/>
        <w:ind w:left="0" w:leftChars="0" w:firstLine="0" w:firstLineChars="0"/>
        <w:jc w:val="center"/>
        <w:rPr>
          <w:rFonts w:hint="default"/>
          <w:lang w:val="en-US" w:eastAsia="zh-CN"/>
        </w:rPr>
      </w:pPr>
      <w:r>
        <w:drawing>
          <wp:inline distT="0" distB="0" distL="114300" distR="114300">
            <wp:extent cx="4554855" cy="3940810"/>
            <wp:effectExtent l="0" t="0" r="1905" b="6350"/>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9"/>
                    <a:stretch>
                      <a:fillRect/>
                    </a:stretch>
                  </pic:blipFill>
                  <pic:spPr>
                    <a:xfrm>
                      <a:off x="0" y="0"/>
                      <a:ext cx="4554855" cy="3940810"/>
                    </a:xfrm>
                    <a:prstGeom prst="rect">
                      <a:avLst/>
                    </a:prstGeom>
                    <a:noFill/>
                    <a:ln>
                      <a:noFill/>
                    </a:ln>
                  </pic:spPr>
                </pic:pic>
              </a:graphicData>
            </a:graphic>
          </wp:inline>
        </w:drawing>
      </w:r>
    </w:p>
    <w:p w14:paraId="0FA03257">
      <w:pPr>
        <w:pStyle w:val="38"/>
        <w:numPr>
          <w:ilvl w:val="3"/>
          <w:numId w:val="1"/>
        </w:numPr>
        <w:outlineLvl w:val="3"/>
        <w:rPr>
          <w:rFonts w:hint="eastAsia"/>
        </w:rPr>
      </w:pPr>
      <w:r>
        <w:commentReference w:id="3"/>
      </w:r>
      <w:r>
        <w:rPr>
          <w:rFonts w:hint="eastAsia"/>
          <w:highlight w:val="yellow"/>
        </w:rPr>
        <w:t>合作计费</w:t>
      </w:r>
    </w:p>
    <w:p w14:paraId="02012438">
      <w:pPr>
        <w:numPr>
          <w:numId w:val="0"/>
        </w:numPr>
        <w:bidi w:val="0"/>
        <w:ind w:leftChars="0" w:firstLine="560" w:firstLineChars="200"/>
        <w:rPr>
          <w:rFonts w:hint="default" w:eastAsia="仿宋"/>
          <w:lang w:val="en-US" w:eastAsia="zh-CN"/>
        </w:rPr>
      </w:pPr>
      <w:r>
        <w:rPr>
          <w:rFonts w:hint="eastAsia" w:eastAsia="仿宋"/>
          <w:lang w:val="en-US" w:eastAsia="zh-CN"/>
        </w:rPr>
        <w:t>支持根据设置的计量规则对平台模型产品和智能体产品使用情况包括Token、计量次数进行管理</w:t>
      </w:r>
      <w:r>
        <w:rPr>
          <w:rFonts w:hint="eastAsia"/>
          <w:lang w:val="en-US" w:eastAsia="zh-CN"/>
        </w:rPr>
        <w:t>。能够基于用户自定义的计量规则，对平台AI模型和智能体产品的使用情况进行精细化统计和智能化管控，具体包括：支持按Token消耗量、API调用次数、服务时长等多维度计量；支持实时用量监控、阈值预警、分级计费等功能；同时提供计量数据可视化分析、异常使用告警、历史记录追溯等管理能力，确保资源使用可计量、可审计、可优化，为产品运营和成本控制提供数据支撑。</w:t>
      </w:r>
    </w:p>
    <w:p w14:paraId="6E6E2965">
      <w:pPr>
        <w:pStyle w:val="2"/>
        <w:jc w:val="center"/>
        <w:rPr>
          <w:rFonts w:hint="eastAsia"/>
          <w:lang w:val="en-US" w:eastAsia="zh-CN"/>
        </w:rPr>
      </w:pPr>
      <w:r>
        <w:drawing>
          <wp:inline distT="0" distB="0" distL="114300" distR="114300">
            <wp:extent cx="4034155" cy="4758055"/>
            <wp:effectExtent l="0" t="0" r="4445" b="1206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pic:cNvPicPr>
                  </pic:nvPicPr>
                  <pic:blipFill>
                    <a:blip r:embed="rId10"/>
                    <a:stretch>
                      <a:fillRect/>
                    </a:stretch>
                  </pic:blipFill>
                  <pic:spPr>
                    <a:xfrm>
                      <a:off x="0" y="0"/>
                      <a:ext cx="4034155" cy="4758055"/>
                    </a:xfrm>
                    <a:prstGeom prst="rect">
                      <a:avLst/>
                    </a:prstGeom>
                    <a:noFill/>
                    <a:ln>
                      <a:noFill/>
                    </a:ln>
                  </pic:spPr>
                </pic:pic>
              </a:graphicData>
            </a:graphic>
          </wp:inline>
        </w:drawing>
      </w:r>
    </w:p>
    <w:p w14:paraId="0FB7FF70">
      <w:pPr>
        <w:pStyle w:val="38"/>
        <w:numPr>
          <w:ilvl w:val="3"/>
          <w:numId w:val="1"/>
        </w:numPr>
        <w:outlineLvl w:val="3"/>
        <w:rPr>
          <w:rFonts w:hint="eastAsia"/>
          <w:highlight w:val="yellow"/>
        </w:rPr>
      </w:pPr>
      <w:commentRangeStart w:id="4"/>
      <w:r>
        <w:rPr>
          <w:rFonts w:hint="eastAsia"/>
          <w:highlight w:val="yellow"/>
        </w:rPr>
        <w:t>产品目录</w:t>
      </w:r>
    </w:p>
    <w:p w14:paraId="1A244482">
      <w:pPr>
        <w:bidi w:val="0"/>
        <w:rPr>
          <w:rFonts w:hint="eastAsia" w:ascii="Segoe UI" w:hAnsi="Segoe UI" w:eastAsia="宋体" w:cs="Segoe UI"/>
          <w:i w:val="0"/>
          <w:iCs w:val="0"/>
          <w:caps w:val="0"/>
          <w:color w:val="404040"/>
          <w:spacing w:val="0"/>
          <w:sz w:val="19"/>
          <w:szCs w:val="19"/>
          <w:shd w:val="clear" w:fill="FFFFFF"/>
          <w:lang w:eastAsia="zh-CN"/>
        </w:rPr>
      </w:pPr>
      <w:r>
        <w:rPr>
          <w:rFonts w:ascii="Segoe UI" w:hAnsi="Segoe UI" w:eastAsia="Segoe UI" w:cs="Segoe UI"/>
          <w:i w:val="0"/>
          <w:iCs w:val="0"/>
          <w:caps w:val="0"/>
          <w:color w:val="404040"/>
          <w:spacing w:val="0"/>
          <w:sz w:val="19"/>
          <w:szCs w:val="19"/>
          <w:shd w:val="clear" w:fill="FFFFFF"/>
        </w:rPr>
        <w:t>支持多维度的分类管理体系，可根据产品特性、业务用途和提供方等关键维度建立灵活的分类架构。管理员可自定义多级分类标签，实现产品的精细化归类，并支持跨维度的组合查询与统计。该分类体系与计量系统深度整合，可实现按类别设置差异化的计量规则、权限策略和运营看板，满足不同业务场景下的资源管理需求，同时保持分类结构的可扩展性以适应未来业务发展</w:t>
      </w:r>
      <w:r>
        <w:rPr>
          <w:rFonts w:hint="eastAsia" w:ascii="Segoe UI" w:hAnsi="Segoe UI" w:eastAsia="宋体" w:cs="Segoe UI"/>
          <w:i w:val="0"/>
          <w:iCs w:val="0"/>
          <w:caps w:val="0"/>
          <w:color w:val="404040"/>
          <w:spacing w:val="0"/>
          <w:sz w:val="19"/>
          <w:szCs w:val="19"/>
          <w:shd w:val="clear" w:fill="FFFFFF"/>
          <w:lang w:eastAsia="zh-CN"/>
        </w:rPr>
        <w:t>。</w:t>
      </w:r>
    </w:p>
    <w:p w14:paraId="561A3FF2">
      <w:pPr>
        <w:pStyle w:val="2"/>
        <w:ind w:left="0" w:leftChars="0" w:firstLine="0" w:firstLineChars="0"/>
        <w:rPr>
          <w:rFonts w:hint="eastAsia"/>
          <w:lang w:val="en-US" w:eastAsia="zh-CN"/>
        </w:rPr>
      </w:pPr>
      <w:r>
        <w:drawing>
          <wp:inline distT="0" distB="0" distL="114300" distR="114300">
            <wp:extent cx="6334760" cy="1549400"/>
            <wp:effectExtent l="0" t="0" r="5080" b="5080"/>
            <wp:docPr id="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
                    <pic:cNvPicPr>
                      <a:picLocks noChangeAspect="1"/>
                    </pic:cNvPicPr>
                  </pic:nvPicPr>
                  <pic:blipFill>
                    <a:blip r:embed="rId11"/>
                    <a:stretch>
                      <a:fillRect/>
                    </a:stretch>
                  </pic:blipFill>
                  <pic:spPr>
                    <a:xfrm>
                      <a:off x="0" y="0"/>
                      <a:ext cx="6334760" cy="1549400"/>
                    </a:xfrm>
                    <a:prstGeom prst="rect">
                      <a:avLst/>
                    </a:prstGeom>
                    <a:noFill/>
                    <a:ln>
                      <a:noFill/>
                    </a:ln>
                  </pic:spPr>
                </pic:pic>
              </a:graphicData>
            </a:graphic>
          </wp:inline>
        </w:drawing>
      </w:r>
    </w:p>
    <w:p w14:paraId="126A3329">
      <w:pPr>
        <w:pStyle w:val="38"/>
        <w:numPr>
          <w:ilvl w:val="3"/>
          <w:numId w:val="1"/>
        </w:numPr>
        <w:outlineLvl w:val="3"/>
      </w:pPr>
      <w:r>
        <w:rPr>
          <w:rFonts w:hint="eastAsia"/>
          <w:highlight w:val="yellow"/>
        </w:rPr>
        <w:t>产品管理</w:t>
      </w:r>
      <w:commentRangeEnd w:id="4"/>
      <w:r>
        <w:rPr>
          <w:highlight w:val="yellow"/>
        </w:rPr>
        <w:commentReference w:id="4"/>
      </w:r>
    </w:p>
    <w:p w14:paraId="12859CA5">
      <w:pPr>
        <w:pStyle w:val="2"/>
        <w:ind w:left="0" w:leftChars="0" w:firstLine="480" w:firstLineChars="200"/>
        <w:rPr>
          <w:rFonts w:hint="eastAsia"/>
        </w:rPr>
      </w:pPr>
      <w:r>
        <w:rPr>
          <w:rFonts w:hint="eastAsia"/>
        </w:rPr>
        <w:t>支持供应商在产品管理模块进行产品上架和下架，支持设置产品信息，包括产品编号、产品名称（如模型名称）、产品类型（如大语言模型）、商品定价（如计费方式：按Token计费、按次计费等）、产品类目（如产品类别）、所属分类、推荐标签（多个标签用逗号分隔）、产品描述（如模型详细描述）、产品亮点（如模型特性，多个特性用逗号分隔）、详细介绍，以及上传Logo、选择版本、设置发布范围、发布用途（如商业用途）、安全防护（如基础防护）</w:t>
      </w:r>
      <w:r>
        <w:rPr>
          <w:rFonts w:hint="eastAsia"/>
          <w:lang w:val="en-US" w:eastAsia="zh-CN"/>
        </w:rPr>
        <w:t>和执行动作。</w:t>
      </w:r>
    </w:p>
    <w:p w14:paraId="439F4554">
      <w:pPr>
        <w:pStyle w:val="2"/>
        <w:ind w:left="0" w:leftChars="0" w:firstLine="480" w:firstLineChars="200"/>
      </w:pPr>
      <w:r>
        <w:drawing>
          <wp:inline distT="0" distB="0" distL="114300" distR="114300">
            <wp:extent cx="6328410" cy="2842260"/>
            <wp:effectExtent l="0" t="0" r="11430" b="7620"/>
            <wp:docPr id="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
                    <pic:cNvPicPr>
                      <a:picLocks noChangeAspect="1"/>
                    </pic:cNvPicPr>
                  </pic:nvPicPr>
                  <pic:blipFill>
                    <a:blip r:embed="rId12"/>
                    <a:stretch>
                      <a:fillRect/>
                    </a:stretch>
                  </pic:blipFill>
                  <pic:spPr>
                    <a:xfrm>
                      <a:off x="0" y="0"/>
                      <a:ext cx="6328410" cy="2842260"/>
                    </a:xfrm>
                    <a:prstGeom prst="rect">
                      <a:avLst/>
                    </a:prstGeom>
                    <a:noFill/>
                    <a:ln>
                      <a:noFill/>
                    </a:ln>
                  </pic:spPr>
                </pic:pic>
              </a:graphicData>
            </a:graphic>
          </wp:inline>
        </w:drawing>
      </w:r>
    </w:p>
    <w:p w14:paraId="3F6F31E2">
      <w:pPr>
        <w:pStyle w:val="2"/>
        <w:ind w:left="0" w:leftChars="0" w:firstLine="480" w:firstLineChars="200"/>
        <w:jc w:val="center"/>
        <w:rPr>
          <w:rFonts w:hint="eastAsia"/>
        </w:rPr>
      </w:pPr>
      <w:r>
        <w:drawing>
          <wp:inline distT="0" distB="0" distL="114300" distR="114300">
            <wp:extent cx="4777740" cy="6217920"/>
            <wp:effectExtent l="0" t="0" r="7620" b="0"/>
            <wp:docPr id="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
                    <pic:cNvPicPr>
                      <a:picLocks noChangeAspect="1"/>
                    </pic:cNvPicPr>
                  </pic:nvPicPr>
                  <pic:blipFill>
                    <a:blip r:embed="rId13"/>
                    <a:stretch>
                      <a:fillRect/>
                    </a:stretch>
                  </pic:blipFill>
                  <pic:spPr>
                    <a:xfrm>
                      <a:off x="0" y="0"/>
                      <a:ext cx="4777740" cy="6217920"/>
                    </a:xfrm>
                    <a:prstGeom prst="rect">
                      <a:avLst/>
                    </a:prstGeom>
                    <a:noFill/>
                    <a:ln>
                      <a:noFill/>
                    </a:ln>
                  </pic:spPr>
                </pic:pic>
              </a:graphicData>
            </a:graphic>
          </wp:inline>
        </w:drawing>
      </w:r>
    </w:p>
    <w:p w14:paraId="5C9E6285">
      <w:pPr>
        <w:pStyle w:val="38"/>
        <w:numPr>
          <w:ilvl w:val="2"/>
          <w:numId w:val="1"/>
        </w:numPr>
        <w:outlineLvl w:val="2"/>
        <w:rPr>
          <w:rFonts w:hint="eastAsia"/>
          <w:highlight w:val="yellow"/>
        </w:rPr>
      </w:pPr>
      <w:commentRangeStart w:id="5"/>
      <w:r>
        <w:rPr>
          <w:rFonts w:hint="eastAsia"/>
          <w:highlight w:val="yellow"/>
        </w:rPr>
        <w:t>运营支撑</w:t>
      </w:r>
    </w:p>
    <w:p w14:paraId="3DE78ADB">
      <w:pPr>
        <w:pStyle w:val="38"/>
        <w:numPr>
          <w:ilvl w:val="3"/>
          <w:numId w:val="1"/>
        </w:numPr>
        <w:outlineLvl w:val="3"/>
        <w:rPr>
          <w:rFonts w:hint="eastAsia"/>
          <w:highlight w:val="yellow"/>
        </w:rPr>
      </w:pPr>
      <w:r>
        <w:rPr>
          <w:rFonts w:hint="eastAsia"/>
          <w:highlight w:val="yellow"/>
        </w:rPr>
        <w:t>运营驾驶舱</w:t>
      </w:r>
    </w:p>
    <w:p w14:paraId="0518A55B">
      <w:pPr>
        <w:pStyle w:val="2"/>
        <w:ind w:left="0" w:leftChars="0" w:firstLine="480" w:firstLineChars="200"/>
        <w:rPr>
          <w:rFonts w:hint="eastAsia"/>
        </w:rPr>
      </w:pPr>
      <w:r>
        <w:rPr>
          <w:rFonts w:hint="eastAsia"/>
        </w:rPr>
        <w:t>支持以可视化视图方式直观展示运营情况，包括用户Base指数、行为分析、模</w:t>
      </w:r>
      <w:r>
        <w:rPr>
          <w:rFonts w:hint="eastAsia"/>
          <w:lang w:val="en-US" w:eastAsia="zh-CN"/>
        </w:rPr>
        <w:t>形</w:t>
      </w:r>
      <w:r>
        <w:rPr>
          <w:rFonts w:hint="eastAsia"/>
        </w:rPr>
        <w:t>使用趋势等关键指标，并支持按用户维度进行多角度分析，同时可结合时间轴和细分标签实现数据下钻与对比，帮助运营团队快速定位问题并优化策略</w:t>
      </w:r>
    </w:p>
    <w:p w14:paraId="30A33EFD">
      <w:pPr>
        <w:pStyle w:val="2"/>
        <w:ind w:left="0" w:leftChars="0" w:firstLine="0" w:firstLineChars="0"/>
      </w:pPr>
      <w:r>
        <w:drawing>
          <wp:inline distT="0" distB="0" distL="114300" distR="114300">
            <wp:extent cx="6339205" cy="3081655"/>
            <wp:effectExtent l="0" t="0" r="635" b="12065"/>
            <wp:docPr id="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1"/>
                    <pic:cNvPicPr>
                      <a:picLocks noChangeAspect="1"/>
                    </pic:cNvPicPr>
                  </pic:nvPicPr>
                  <pic:blipFill>
                    <a:blip r:embed="rId14"/>
                    <a:stretch>
                      <a:fillRect/>
                    </a:stretch>
                  </pic:blipFill>
                  <pic:spPr>
                    <a:xfrm>
                      <a:off x="0" y="0"/>
                      <a:ext cx="6339205" cy="3081655"/>
                    </a:xfrm>
                    <a:prstGeom prst="rect">
                      <a:avLst/>
                    </a:prstGeom>
                    <a:noFill/>
                    <a:ln>
                      <a:noFill/>
                    </a:ln>
                  </pic:spPr>
                </pic:pic>
              </a:graphicData>
            </a:graphic>
          </wp:inline>
        </w:drawing>
      </w:r>
    </w:p>
    <w:p w14:paraId="0E987307">
      <w:pPr>
        <w:pStyle w:val="2"/>
        <w:ind w:left="0" w:leftChars="0" w:firstLine="0" w:firstLineChars="0"/>
        <w:rPr>
          <w:rFonts w:hint="eastAsia"/>
        </w:rPr>
      </w:pPr>
      <w:r>
        <w:drawing>
          <wp:inline distT="0" distB="0" distL="114300" distR="114300">
            <wp:extent cx="6332855" cy="2971800"/>
            <wp:effectExtent l="0" t="0" r="6985" b="0"/>
            <wp:docPr id="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2"/>
                    <pic:cNvPicPr>
                      <a:picLocks noChangeAspect="1"/>
                    </pic:cNvPicPr>
                  </pic:nvPicPr>
                  <pic:blipFill>
                    <a:blip r:embed="rId15"/>
                    <a:stretch>
                      <a:fillRect/>
                    </a:stretch>
                  </pic:blipFill>
                  <pic:spPr>
                    <a:xfrm>
                      <a:off x="0" y="0"/>
                      <a:ext cx="6332855" cy="2971800"/>
                    </a:xfrm>
                    <a:prstGeom prst="rect">
                      <a:avLst/>
                    </a:prstGeom>
                    <a:noFill/>
                    <a:ln>
                      <a:noFill/>
                    </a:ln>
                  </pic:spPr>
                </pic:pic>
              </a:graphicData>
            </a:graphic>
          </wp:inline>
        </w:drawing>
      </w:r>
    </w:p>
    <w:p w14:paraId="76C6C288">
      <w:pPr>
        <w:pStyle w:val="38"/>
        <w:numPr>
          <w:ilvl w:val="3"/>
          <w:numId w:val="1"/>
        </w:numPr>
        <w:outlineLvl w:val="3"/>
        <w:rPr>
          <w:rFonts w:hint="eastAsia"/>
          <w:highlight w:val="yellow"/>
        </w:rPr>
      </w:pPr>
      <w:r>
        <w:rPr>
          <w:rFonts w:hint="eastAsia"/>
          <w:highlight w:val="yellow"/>
        </w:rPr>
        <w:t>产品运营分析</w:t>
      </w:r>
    </w:p>
    <w:p w14:paraId="0AE98811">
      <w:pPr>
        <w:bidi w:val="0"/>
        <w:rPr>
          <w:rFonts w:hint="eastAsia"/>
          <w:lang w:val="en-US" w:eastAsia="zh-CN"/>
        </w:rPr>
      </w:pPr>
      <w:r>
        <w:rPr>
          <w:rFonts w:hint="eastAsia"/>
          <w:lang w:val="en-US" w:eastAsia="zh-CN"/>
        </w:rPr>
        <w:t>支持以产品为中心的运营售卖情况详细分析， 支持产品运营概览方便了解个产品的售卖情况。</w:t>
      </w:r>
    </w:p>
    <w:p w14:paraId="6C3CB0CF">
      <w:pPr>
        <w:pStyle w:val="2"/>
      </w:pPr>
      <w:r>
        <w:drawing>
          <wp:inline distT="0" distB="0" distL="114300" distR="114300">
            <wp:extent cx="6339840" cy="2917190"/>
            <wp:effectExtent l="0" t="0" r="0" b="8890"/>
            <wp:docPr id="5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3"/>
                    <pic:cNvPicPr>
                      <a:picLocks noChangeAspect="1"/>
                    </pic:cNvPicPr>
                  </pic:nvPicPr>
                  <pic:blipFill>
                    <a:blip r:embed="rId16"/>
                    <a:stretch>
                      <a:fillRect/>
                    </a:stretch>
                  </pic:blipFill>
                  <pic:spPr>
                    <a:xfrm>
                      <a:off x="0" y="0"/>
                      <a:ext cx="6339840" cy="2917190"/>
                    </a:xfrm>
                    <a:prstGeom prst="rect">
                      <a:avLst/>
                    </a:prstGeom>
                    <a:noFill/>
                    <a:ln>
                      <a:noFill/>
                    </a:ln>
                  </pic:spPr>
                </pic:pic>
              </a:graphicData>
            </a:graphic>
          </wp:inline>
        </w:drawing>
      </w:r>
    </w:p>
    <w:p w14:paraId="3D81CE71">
      <w:pPr>
        <w:pStyle w:val="2"/>
        <w:ind w:left="0" w:leftChars="0" w:firstLine="0" w:firstLineChars="0"/>
        <w:rPr>
          <w:rFonts w:hint="eastAsia"/>
          <w:lang w:val="en-US" w:eastAsia="zh-CN"/>
        </w:rPr>
      </w:pPr>
      <w:r>
        <w:rPr>
          <w:rFonts w:hint="eastAsia"/>
          <w:lang w:val="en-US" w:eastAsia="zh-CN"/>
        </w:rPr>
        <w:t xml:space="preserve">   支持根据产品售卖的排行了解产品的受欢迎程度，进而分析销售转化的结果， 方便提前分配产品的上架数量，进而获得更高的售卖转化。</w:t>
      </w:r>
    </w:p>
    <w:p w14:paraId="58BD8E4E">
      <w:pPr>
        <w:pStyle w:val="2"/>
        <w:ind w:left="0" w:leftChars="0" w:firstLine="0" w:firstLineChars="0"/>
        <w:jc w:val="center"/>
      </w:pPr>
      <w:r>
        <w:drawing>
          <wp:inline distT="0" distB="0" distL="114300" distR="114300">
            <wp:extent cx="6339205" cy="2808605"/>
            <wp:effectExtent l="0" t="0" r="635" b="10795"/>
            <wp:docPr id="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4"/>
                    <pic:cNvPicPr>
                      <a:picLocks noChangeAspect="1"/>
                    </pic:cNvPicPr>
                  </pic:nvPicPr>
                  <pic:blipFill>
                    <a:blip r:embed="rId17"/>
                    <a:stretch>
                      <a:fillRect/>
                    </a:stretch>
                  </pic:blipFill>
                  <pic:spPr>
                    <a:xfrm>
                      <a:off x="0" y="0"/>
                      <a:ext cx="6339205" cy="2808605"/>
                    </a:xfrm>
                    <a:prstGeom prst="rect">
                      <a:avLst/>
                    </a:prstGeom>
                    <a:noFill/>
                    <a:ln>
                      <a:noFill/>
                    </a:ln>
                  </pic:spPr>
                </pic:pic>
              </a:graphicData>
            </a:graphic>
          </wp:inline>
        </w:drawing>
      </w:r>
    </w:p>
    <w:p w14:paraId="4C96680F">
      <w:pPr>
        <w:pStyle w:val="2"/>
        <w:ind w:left="0" w:leftChars="0" w:firstLine="0" w:firstLineChars="0"/>
        <w:jc w:val="left"/>
        <w:rPr>
          <w:rFonts w:hint="eastAsia"/>
          <w:lang w:val="en-US" w:eastAsia="zh-CN"/>
        </w:rPr>
      </w:pPr>
      <w:r>
        <w:rPr>
          <w:rFonts w:hint="eastAsia"/>
          <w:lang w:val="en-US" w:eastAsia="zh-CN"/>
        </w:rPr>
        <w:t>支持分析产品销售的报表，支持分析售卖趋势。</w:t>
      </w:r>
    </w:p>
    <w:p w14:paraId="366348E0">
      <w:pPr>
        <w:pStyle w:val="2"/>
        <w:ind w:left="0" w:leftChars="0" w:firstLine="0" w:firstLineChars="0"/>
        <w:jc w:val="left"/>
        <w:rPr>
          <w:rFonts w:hint="default"/>
          <w:lang w:val="en-US" w:eastAsia="zh-CN"/>
        </w:rPr>
      </w:pPr>
      <w:r>
        <w:drawing>
          <wp:inline distT="0" distB="0" distL="114300" distR="114300">
            <wp:extent cx="6339840" cy="2705100"/>
            <wp:effectExtent l="0" t="0" r="0" b="7620"/>
            <wp:docPr id="5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5"/>
                    <pic:cNvPicPr>
                      <a:picLocks noChangeAspect="1"/>
                    </pic:cNvPicPr>
                  </pic:nvPicPr>
                  <pic:blipFill>
                    <a:blip r:embed="rId18"/>
                    <a:stretch>
                      <a:fillRect/>
                    </a:stretch>
                  </pic:blipFill>
                  <pic:spPr>
                    <a:xfrm>
                      <a:off x="0" y="0"/>
                      <a:ext cx="6339840" cy="2705100"/>
                    </a:xfrm>
                    <a:prstGeom prst="rect">
                      <a:avLst/>
                    </a:prstGeom>
                    <a:noFill/>
                    <a:ln>
                      <a:noFill/>
                    </a:ln>
                  </pic:spPr>
                </pic:pic>
              </a:graphicData>
            </a:graphic>
          </wp:inline>
        </w:drawing>
      </w:r>
    </w:p>
    <w:p w14:paraId="6A643BF8">
      <w:pPr>
        <w:pStyle w:val="2"/>
        <w:ind w:left="0" w:leftChars="0" w:firstLine="0" w:firstLineChars="0"/>
        <w:jc w:val="center"/>
        <w:rPr>
          <w:rFonts w:hint="default"/>
          <w:lang w:val="en-US" w:eastAsia="zh-CN"/>
        </w:rPr>
      </w:pPr>
    </w:p>
    <w:p w14:paraId="43366F31">
      <w:pPr>
        <w:pStyle w:val="38"/>
        <w:numPr>
          <w:ilvl w:val="3"/>
          <w:numId w:val="1"/>
        </w:numPr>
        <w:outlineLvl w:val="3"/>
        <w:rPr>
          <w:highlight w:val="yellow"/>
        </w:rPr>
      </w:pPr>
      <w:r>
        <w:rPr>
          <w:rFonts w:hint="eastAsia"/>
          <w:highlight w:val="yellow"/>
        </w:rPr>
        <w:t>统计报表</w:t>
      </w:r>
      <w:commentRangeEnd w:id="5"/>
      <w:r>
        <w:commentReference w:id="5"/>
      </w:r>
    </w:p>
    <w:p w14:paraId="02621F2C">
      <w:pPr>
        <w:ind w:firstLine="440" w:firstLineChars="200"/>
        <w:rPr>
          <w:rFonts w:hint="default" w:eastAsia="仿宋"/>
          <w:lang w:val="en-US" w:eastAsia="zh-CN"/>
        </w:rPr>
      </w:pPr>
      <w:r>
        <w:rPr>
          <w:rFonts w:hint="eastAsia" w:ascii="宋体" w:hAnsi="宋体" w:cs="仿宋"/>
          <w:color w:val="000000"/>
          <w:kern w:val="0"/>
          <w:sz w:val="22"/>
          <w:szCs w:val="22"/>
          <w:lang w:bidi="ar"/>
        </w:rPr>
        <w:t>支持运营指标定义、开发和指标呈现</w:t>
      </w:r>
      <w:r>
        <w:rPr>
          <w:rFonts w:hint="eastAsia" w:ascii="宋体" w:hAnsi="宋体" w:cs="仿宋"/>
          <w:color w:val="000000"/>
          <w:kern w:val="0"/>
          <w:sz w:val="22"/>
          <w:szCs w:val="22"/>
          <w:lang w:eastAsia="zh-CN" w:bidi="ar"/>
        </w:rPr>
        <w:t>，</w:t>
      </w:r>
      <w:r>
        <w:rPr>
          <w:rFonts w:hint="eastAsia" w:ascii="宋体" w:hAnsi="宋体" w:cs="仿宋"/>
          <w:color w:val="000000"/>
          <w:kern w:val="0"/>
          <w:sz w:val="22"/>
          <w:szCs w:val="22"/>
          <w:lang w:val="en-US" w:eastAsia="zh-CN" w:bidi="ar"/>
        </w:rPr>
        <w:t xml:space="preserve"> 可以根据运营的需求创建新的统计指标，然后根据指标生成报表，可以进行下载统计报表。</w:t>
      </w:r>
    </w:p>
    <w:p w14:paraId="3CF9D005">
      <w:pPr>
        <w:ind w:firstLine="0"/>
      </w:pPr>
      <w:r>
        <w:drawing>
          <wp:inline distT="0" distB="0" distL="114300" distR="114300">
            <wp:extent cx="6325870" cy="2896235"/>
            <wp:effectExtent l="0" t="0" r="13970" b="14605"/>
            <wp:docPr id="5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6"/>
                    <pic:cNvPicPr>
                      <a:picLocks noChangeAspect="1"/>
                    </pic:cNvPicPr>
                  </pic:nvPicPr>
                  <pic:blipFill>
                    <a:blip r:embed="rId19"/>
                    <a:stretch>
                      <a:fillRect/>
                    </a:stretch>
                  </pic:blipFill>
                  <pic:spPr>
                    <a:xfrm>
                      <a:off x="0" y="0"/>
                      <a:ext cx="6325870" cy="2896235"/>
                    </a:xfrm>
                    <a:prstGeom prst="rect">
                      <a:avLst/>
                    </a:prstGeom>
                    <a:noFill/>
                    <a:ln>
                      <a:noFill/>
                    </a:ln>
                  </pic:spPr>
                </pic:pic>
              </a:graphicData>
            </a:graphic>
          </wp:inline>
        </w:drawing>
      </w:r>
    </w:p>
    <w:p w14:paraId="7A69FB0E">
      <w:pPr>
        <w:pStyle w:val="2"/>
        <w:ind w:left="0" w:leftChars="0" w:firstLine="0" w:firstLineChars="0"/>
      </w:pPr>
      <w:r>
        <w:drawing>
          <wp:inline distT="0" distB="0" distL="114300" distR="114300">
            <wp:extent cx="6335395" cy="2226310"/>
            <wp:effectExtent l="0" t="0" r="4445" b="13970"/>
            <wp:docPr id="5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7"/>
                    <pic:cNvPicPr>
                      <a:picLocks noChangeAspect="1"/>
                    </pic:cNvPicPr>
                  </pic:nvPicPr>
                  <pic:blipFill>
                    <a:blip r:embed="rId20"/>
                    <a:stretch>
                      <a:fillRect/>
                    </a:stretch>
                  </pic:blipFill>
                  <pic:spPr>
                    <a:xfrm>
                      <a:off x="0" y="0"/>
                      <a:ext cx="6335395" cy="2226310"/>
                    </a:xfrm>
                    <a:prstGeom prst="rect">
                      <a:avLst/>
                    </a:prstGeom>
                    <a:noFill/>
                    <a:ln>
                      <a:noFill/>
                    </a:ln>
                  </pic:spPr>
                </pic:pic>
              </a:graphicData>
            </a:graphic>
          </wp:inline>
        </w:drawing>
      </w:r>
    </w:p>
    <w:p w14:paraId="5107814C">
      <w:pPr>
        <w:pStyle w:val="2"/>
        <w:ind w:left="0" w:leftChars="0" w:firstLine="0" w:firstLineChars="0"/>
        <w:rPr>
          <w:rFonts w:hint="default" w:eastAsia="宋体"/>
          <w:lang w:val="en-US" w:eastAsia="zh-CN"/>
        </w:rPr>
      </w:pPr>
      <w:r>
        <w:rPr>
          <w:rFonts w:hint="eastAsia"/>
          <w:lang w:val="en-US" w:eastAsia="zh-CN"/>
        </w:rPr>
        <w:t>支持运营日报，周报，自定义指标报表的导出下载导出。</w:t>
      </w:r>
      <w:bookmarkStart w:id="124" w:name="_GoBack"/>
      <w:bookmarkEnd w:id="124"/>
    </w:p>
    <w:p w14:paraId="3325B9B2">
      <w:pPr>
        <w:pStyle w:val="2"/>
        <w:ind w:left="0" w:leftChars="0" w:firstLine="0" w:firstLineChars="0"/>
        <w:rPr>
          <w:rFonts w:hint="default"/>
          <w:lang w:val="en-US" w:eastAsia="zh-CN"/>
        </w:rPr>
      </w:pPr>
      <w:r>
        <w:drawing>
          <wp:inline distT="0" distB="0" distL="114300" distR="114300">
            <wp:extent cx="6326505" cy="3144520"/>
            <wp:effectExtent l="0" t="0" r="13335" b="10160"/>
            <wp:docPr id="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8"/>
                    <pic:cNvPicPr>
                      <a:picLocks noChangeAspect="1"/>
                    </pic:cNvPicPr>
                  </pic:nvPicPr>
                  <pic:blipFill>
                    <a:blip r:embed="rId21"/>
                    <a:stretch>
                      <a:fillRect/>
                    </a:stretch>
                  </pic:blipFill>
                  <pic:spPr>
                    <a:xfrm>
                      <a:off x="0" y="0"/>
                      <a:ext cx="6326505" cy="3144520"/>
                    </a:xfrm>
                    <a:prstGeom prst="rect">
                      <a:avLst/>
                    </a:prstGeom>
                    <a:noFill/>
                    <a:ln>
                      <a:noFill/>
                    </a:ln>
                  </pic:spPr>
                </pic:pic>
              </a:graphicData>
            </a:graphic>
          </wp:inline>
        </w:drawing>
      </w:r>
    </w:p>
    <w:p w14:paraId="131E6390">
      <w:pPr>
        <w:pStyle w:val="38"/>
        <w:numPr>
          <w:ilvl w:val="1"/>
          <w:numId w:val="1"/>
        </w:numPr>
        <w:outlineLvl w:val="1"/>
        <w:rPr>
          <w:rFonts w:hint="eastAsia"/>
        </w:rPr>
      </w:pPr>
      <w:r>
        <w:rPr>
          <w:rFonts w:hint="eastAsia"/>
        </w:rPr>
        <w:t>AI能力管理</w:t>
      </w:r>
    </w:p>
    <w:p w14:paraId="24CC212C">
      <w:pPr>
        <w:ind w:firstLine="0"/>
        <w:rPr>
          <w:rFonts w:hint="eastAsia"/>
        </w:rPr>
      </w:pPr>
    </w:p>
    <w:p w14:paraId="48DA9A15">
      <w:pPr>
        <w:pStyle w:val="38"/>
        <w:numPr>
          <w:ilvl w:val="2"/>
          <w:numId w:val="1"/>
        </w:numPr>
        <w:outlineLvl w:val="2"/>
        <w:rPr>
          <w:rFonts w:hint="eastAsia"/>
        </w:rPr>
      </w:pPr>
      <w:r>
        <w:rPr>
          <w:rFonts w:hint="eastAsia"/>
        </w:rPr>
        <w:t>数据管理</w:t>
      </w:r>
    </w:p>
    <w:p w14:paraId="63D293BB">
      <w:pPr>
        <w:pStyle w:val="38"/>
        <w:numPr>
          <w:ilvl w:val="3"/>
          <w:numId w:val="1"/>
        </w:numPr>
        <w:outlineLvl w:val="3"/>
        <w:rPr>
          <w:rFonts w:hint="eastAsia"/>
        </w:rPr>
      </w:pPr>
      <w:r>
        <w:rPr>
          <w:rFonts w:hint="eastAsia"/>
        </w:rPr>
        <w:t>数据集管理</w:t>
      </w:r>
    </w:p>
    <w:p w14:paraId="2FE27D47">
      <w:pPr>
        <w:ind w:firstLine="480"/>
        <w:rPr>
          <w:rFonts w:hint="eastAsia" w:ascii="宋体" w:hAnsi="宋体" w:eastAsia="宋体" w:cs="宋体"/>
        </w:rPr>
      </w:pPr>
      <w:r>
        <w:rPr>
          <w:rFonts w:hint="eastAsia" w:ascii="宋体" w:hAnsi="宋体" w:eastAsia="宋体" w:cs="宋体"/>
        </w:rPr>
        <w:t>支持图像、文本、语音、视频、多模态、3D点云和GIS数据类型的统一管理，兼容VOC、COCO、LabelMe、YOLO等行业图像标注规范，支持大模型图生文、向量、对话指令等数据集类型。</w:t>
      </w:r>
    </w:p>
    <w:p w14:paraId="5F1D1B52">
      <w:pPr>
        <w:pStyle w:val="38"/>
        <w:numPr>
          <w:ilvl w:val="4"/>
          <w:numId w:val="1"/>
        </w:numPr>
        <w:ind w:left="992" w:leftChars="0" w:hanging="992" w:firstLineChars="0"/>
        <w:outlineLvl w:val="4"/>
        <w:rPr>
          <w:rFonts w:hint="eastAsia"/>
        </w:rPr>
      </w:pPr>
      <w:r>
        <w:rPr>
          <w:rFonts w:hint="default"/>
        </w:rPr>
        <w:t>数据统一管理能力</w:t>
      </w:r>
    </w:p>
    <w:p w14:paraId="05BC3CDF">
      <w:pPr>
        <w:pStyle w:val="38"/>
        <w:numPr>
          <w:ilvl w:val="5"/>
          <w:numId w:val="1"/>
        </w:numPr>
        <w:ind w:left="1134" w:leftChars="0" w:hanging="1134" w:firstLineChars="0"/>
        <w:outlineLvl w:val="5"/>
        <w:rPr>
          <w:rFonts w:hint="default"/>
        </w:rPr>
      </w:pPr>
      <w:r>
        <w:rPr>
          <w:rFonts w:hint="default"/>
        </w:rPr>
        <w:t>多模态数据融合管理</w:t>
      </w:r>
    </w:p>
    <w:p w14:paraId="22C7A825">
      <w:pPr>
        <w:ind w:firstLine="480"/>
        <w:rPr>
          <w:rFonts w:hint="eastAsia" w:ascii="宋体" w:hAnsi="宋体" w:eastAsia="宋体" w:cs="宋体"/>
        </w:rPr>
      </w:pPr>
      <w:r>
        <w:rPr>
          <w:rFonts w:hint="eastAsia" w:ascii="宋体" w:hAnsi="宋体" w:eastAsia="宋体" w:cs="宋体"/>
        </w:rPr>
        <w:t>支持图像（JPG/PNG/TIFF等）、文本（TXT/JSON/CSV等）、语音（MP3/WAV等）、视频（MP4/AVI等）、3D点云（PCD/LAS等）及GIS数据（Shapefile/GeoJSON等）的统一存储、编目与版本控制，建立跨模态数据的关联检索机制。</w:t>
      </w:r>
    </w:p>
    <w:p w14:paraId="7FAE2857">
      <w:pPr>
        <w:ind w:left="0" w:leftChars="0" w:firstLine="0" w:firstLineChars="0"/>
        <w:rPr>
          <w:rFonts w:hint="eastAsia" w:ascii="宋体" w:hAnsi="宋体" w:eastAsia="宋体" w:cs="宋体"/>
          <w:lang w:val="en-US" w:eastAsia="zh-CN"/>
        </w:rPr>
      </w:pPr>
      <w:r>
        <w:rPr>
          <w:rFonts w:hint="eastAsia" w:ascii="宋体" w:hAnsi="宋体" w:eastAsia="宋体" w:cs="宋体"/>
          <w:lang w:val="en-US" w:eastAsia="zh-CN"/>
        </w:rPr>
        <w:t>功能架构图：</w:t>
      </w:r>
    </w:p>
    <w:p w14:paraId="3B978B1A">
      <w:pPr>
        <w:pStyle w:val="38"/>
        <w:numPr>
          <w:ilvl w:val="5"/>
          <w:numId w:val="1"/>
        </w:numPr>
        <w:ind w:left="1134" w:leftChars="0" w:hanging="1134" w:firstLineChars="0"/>
        <w:outlineLvl w:val="5"/>
        <w:rPr>
          <w:rFonts w:hint="default"/>
        </w:rPr>
      </w:pPr>
      <w:r>
        <w:rPr>
          <w:rFonts w:hint="default"/>
        </w:rPr>
        <w:t>功能架构</w:t>
      </w:r>
    </w:p>
    <w:p w14:paraId="24B89991">
      <w:pPr>
        <w:ind w:left="0" w:leftChars="0" w:firstLine="0" w:firstLineChars="0"/>
        <w:rPr>
          <w:rFonts w:hint="default" w:ascii="宋体" w:hAnsi="宋体" w:eastAsia="宋体" w:cs="宋体"/>
          <w:lang w:val="en-US" w:eastAsia="zh-CN"/>
        </w:rPr>
      </w:pPr>
      <w:r>
        <w:drawing>
          <wp:inline distT="0" distB="0" distL="114300" distR="114300">
            <wp:extent cx="6336665" cy="3270250"/>
            <wp:effectExtent l="0" t="0" r="3175" b="6350"/>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22"/>
                    <a:stretch>
                      <a:fillRect/>
                    </a:stretch>
                  </pic:blipFill>
                  <pic:spPr>
                    <a:xfrm>
                      <a:off x="0" y="0"/>
                      <a:ext cx="6336665" cy="3270250"/>
                    </a:xfrm>
                    <a:prstGeom prst="rect">
                      <a:avLst/>
                    </a:prstGeom>
                    <a:noFill/>
                    <a:ln>
                      <a:noFill/>
                    </a:ln>
                  </pic:spPr>
                </pic:pic>
              </a:graphicData>
            </a:graphic>
          </wp:inline>
        </w:drawing>
      </w:r>
    </w:p>
    <w:p w14:paraId="60934CA9">
      <w:pPr>
        <w:pStyle w:val="38"/>
        <w:numPr>
          <w:ilvl w:val="5"/>
          <w:numId w:val="1"/>
        </w:numPr>
        <w:ind w:left="1134" w:leftChars="0" w:hanging="1134" w:firstLineChars="0"/>
        <w:outlineLvl w:val="5"/>
      </w:pPr>
      <w:r>
        <w:rPr>
          <w:rFonts w:hint="default"/>
        </w:rPr>
        <w:t>标注规范兼容性</w:t>
      </w:r>
    </w:p>
    <w:p w14:paraId="65243334">
      <w:pPr>
        <w:numPr>
          <w:ilvl w:val="0"/>
          <w:numId w:val="3"/>
        </w:numPr>
        <w:ind w:left="420" w:leftChars="0" w:hanging="420" w:firstLineChars="0"/>
        <w:rPr>
          <w:rFonts w:hint="eastAsia" w:ascii="宋体" w:hAnsi="宋体" w:eastAsia="宋体" w:cs="宋体"/>
          <w:lang w:eastAsia="zh-CN"/>
        </w:rPr>
      </w:pPr>
      <w:r>
        <w:rPr>
          <w:rFonts w:hint="default" w:ascii="宋体" w:hAnsi="宋体" w:eastAsia="宋体" w:cs="宋体"/>
        </w:rPr>
        <w:t>标注格式支持</w:t>
      </w:r>
      <w:r>
        <w:rPr>
          <w:rFonts w:hint="eastAsia" w:ascii="宋体" w:hAnsi="宋体" w:eastAsia="宋体" w:cs="宋体"/>
          <w:lang w:eastAsia="zh-CN"/>
        </w:rPr>
        <w:t>：</w:t>
      </w:r>
      <w:r>
        <w:rPr>
          <w:rFonts w:hint="default" w:ascii="宋体" w:hAnsi="宋体" w:eastAsia="宋体" w:cs="宋体"/>
        </w:rPr>
        <w:t>全面兼容主流图像标注规范</w:t>
      </w:r>
      <w:r>
        <w:rPr>
          <w:rFonts w:hint="eastAsia" w:ascii="宋体" w:hAnsi="宋体" w:eastAsia="宋体" w:cs="宋体"/>
          <w:lang w:eastAsia="zh-CN"/>
        </w:rPr>
        <w:t>。</w:t>
      </w:r>
    </w:p>
    <w:p w14:paraId="158EC573">
      <w:pPr>
        <w:numPr>
          <w:ilvl w:val="0"/>
          <w:numId w:val="3"/>
        </w:numPr>
        <w:ind w:left="420" w:leftChars="0" w:hanging="420" w:firstLineChars="0"/>
        <w:rPr>
          <w:rFonts w:hint="eastAsia" w:ascii="宋体" w:hAnsi="宋体" w:eastAsia="宋体" w:cs="宋体"/>
          <w:lang w:eastAsia="zh-CN"/>
        </w:rPr>
      </w:pPr>
      <w:r>
        <w:rPr>
          <w:rFonts w:hint="default" w:ascii="宋体" w:hAnsi="宋体" w:eastAsia="宋体" w:cs="宋体"/>
        </w:rPr>
        <w:t>VOC格式：支持XML结构化的物体检测框标注</w:t>
      </w:r>
      <w:r>
        <w:rPr>
          <w:rFonts w:hint="eastAsia" w:ascii="宋体" w:hAnsi="宋体" w:eastAsia="宋体" w:cs="宋体"/>
          <w:lang w:eastAsia="zh-CN"/>
        </w:rPr>
        <w:t>。</w:t>
      </w:r>
    </w:p>
    <w:p w14:paraId="4D513468">
      <w:pPr>
        <w:numPr>
          <w:ilvl w:val="0"/>
          <w:numId w:val="3"/>
        </w:numPr>
        <w:ind w:left="420" w:leftChars="0" w:hanging="420" w:firstLineChars="0"/>
        <w:rPr>
          <w:rFonts w:hint="eastAsia" w:ascii="宋体" w:hAnsi="宋体" w:eastAsia="宋体" w:cs="宋体"/>
          <w:lang w:eastAsia="zh-CN"/>
        </w:rPr>
      </w:pPr>
      <w:r>
        <w:rPr>
          <w:rFonts w:hint="default" w:ascii="宋体" w:hAnsi="宋体" w:eastAsia="宋体" w:cs="宋体"/>
        </w:rPr>
        <w:t>COCO格式：支持JSON格式的实例分割/关键点标注</w:t>
      </w:r>
      <w:r>
        <w:rPr>
          <w:rFonts w:hint="eastAsia" w:ascii="宋体" w:hAnsi="宋体" w:eastAsia="宋体" w:cs="宋体"/>
          <w:lang w:eastAsia="zh-CN"/>
        </w:rPr>
        <w:t>。</w:t>
      </w:r>
    </w:p>
    <w:p w14:paraId="76EDD87F">
      <w:pPr>
        <w:numPr>
          <w:ilvl w:val="0"/>
          <w:numId w:val="3"/>
        </w:numPr>
        <w:ind w:left="420" w:leftChars="0" w:hanging="420" w:firstLineChars="0"/>
        <w:rPr>
          <w:rFonts w:hint="eastAsia" w:ascii="宋体" w:hAnsi="宋体" w:eastAsia="宋体" w:cs="宋体"/>
          <w:lang w:eastAsia="zh-CN"/>
        </w:rPr>
      </w:pPr>
      <w:r>
        <w:rPr>
          <w:rFonts w:hint="default" w:ascii="宋体" w:hAnsi="宋体" w:eastAsia="宋体" w:cs="宋体"/>
        </w:rPr>
        <w:t>LabelMe格式：支持多边形标注的JSON标准</w:t>
      </w:r>
      <w:r>
        <w:rPr>
          <w:rFonts w:hint="eastAsia" w:ascii="宋体" w:hAnsi="宋体" w:eastAsia="宋体" w:cs="宋体"/>
          <w:lang w:eastAsia="zh-CN"/>
        </w:rPr>
        <w:t>。</w:t>
      </w:r>
    </w:p>
    <w:p w14:paraId="43A3BACA">
      <w:pPr>
        <w:numPr>
          <w:ilvl w:val="0"/>
          <w:numId w:val="3"/>
        </w:numPr>
        <w:ind w:left="420" w:leftChars="0" w:hanging="420" w:firstLineChars="0"/>
        <w:rPr>
          <w:rFonts w:hint="eastAsia" w:eastAsia="宋体"/>
          <w:lang w:eastAsia="zh-CN"/>
        </w:rPr>
      </w:pPr>
      <w:r>
        <w:rPr>
          <w:rFonts w:hint="default" w:ascii="宋体" w:hAnsi="宋体" w:eastAsia="宋体" w:cs="宋体"/>
        </w:rPr>
        <w:t>YOLO格式：支持TXT文本坐标标注及类别映射</w:t>
      </w:r>
      <w:r>
        <w:rPr>
          <w:rFonts w:hint="eastAsia" w:ascii="宋体" w:hAnsi="宋体" w:eastAsia="宋体" w:cs="宋体"/>
          <w:lang w:eastAsia="zh-CN"/>
        </w:rPr>
        <w:t>。</w:t>
      </w:r>
    </w:p>
    <w:p w14:paraId="2508AF63">
      <w:pPr>
        <w:pStyle w:val="38"/>
        <w:numPr>
          <w:ilvl w:val="5"/>
          <w:numId w:val="1"/>
        </w:numPr>
        <w:ind w:left="1134" w:leftChars="0" w:hanging="1134" w:firstLineChars="0"/>
        <w:outlineLvl w:val="5"/>
      </w:pPr>
      <w:r>
        <w:rPr>
          <w:rFonts w:hint="default"/>
        </w:rPr>
        <w:t>空间数据专项管理</w:t>
      </w:r>
    </w:p>
    <w:p w14:paraId="4C8755D8">
      <w:pPr>
        <w:numPr>
          <w:ilvl w:val="0"/>
          <w:numId w:val="3"/>
        </w:numPr>
        <w:ind w:left="420" w:leftChars="0" w:hanging="420" w:firstLineChars="0"/>
        <w:rPr>
          <w:rFonts w:hint="default" w:ascii="宋体" w:hAnsi="宋体" w:eastAsia="宋体" w:cs="宋体"/>
        </w:rPr>
      </w:pPr>
      <w:r>
        <w:rPr>
          <w:rFonts w:hint="default" w:ascii="宋体" w:hAnsi="宋体" w:eastAsia="宋体" w:cs="宋体"/>
        </w:rPr>
        <w:t>GIS数据支持坐标参考系（CRS）自动识别</w:t>
      </w:r>
    </w:p>
    <w:p w14:paraId="14967532">
      <w:pPr>
        <w:numPr>
          <w:ilvl w:val="0"/>
          <w:numId w:val="3"/>
        </w:numPr>
        <w:ind w:left="420" w:leftChars="0" w:hanging="420" w:firstLineChars="0"/>
        <w:rPr>
          <w:rFonts w:hint="default" w:ascii="宋体" w:hAnsi="宋体" w:eastAsia="宋体" w:cs="宋体"/>
        </w:rPr>
      </w:pPr>
      <w:r>
        <w:rPr>
          <w:rFonts w:hint="default" w:ascii="宋体" w:hAnsi="宋体" w:eastAsia="宋体" w:cs="宋体"/>
        </w:rPr>
        <w:t>提供三维点云数据的空间索引构建能力</w:t>
      </w:r>
    </w:p>
    <w:p w14:paraId="13395A30">
      <w:pPr>
        <w:numPr>
          <w:ilvl w:val="0"/>
          <w:numId w:val="3"/>
        </w:numPr>
        <w:ind w:left="420" w:leftChars="0" w:hanging="420" w:firstLineChars="0"/>
        <w:rPr>
          <w:rFonts w:hint="default" w:ascii="宋体" w:hAnsi="宋体" w:eastAsia="宋体" w:cs="宋体"/>
        </w:rPr>
      </w:pPr>
      <w:r>
        <w:rPr>
          <w:rFonts w:hint="default" w:ascii="宋体" w:hAnsi="宋体" w:eastAsia="宋体" w:cs="宋体"/>
        </w:rPr>
        <w:t>支持地理栅格/矢量数据的元数据提取</w:t>
      </w:r>
    </w:p>
    <w:p w14:paraId="6E3C2BD5">
      <w:pPr>
        <w:pStyle w:val="38"/>
        <w:numPr>
          <w:ilvl w:val="5"/>
          <w:numId w:val="1"/>
        </w:numPr>
        <w:ind w:left="1134" w:leftChars="0" w:hanging="1134" w:firstLineChars="0"/>
        <w:outlineLvl w:val="5"/>
        <w:rPr>
          <w:rFonts w:hint="eastAsia" w:ascii="宋体" w:hAnsi="宋体" w:eastAsia="宋体" w:cs="宋体"/>
          <w:lang w:val="en-US"/>
        </w:rPr>
      </w:pPr>
      <w:r>
        <w:rPr>
          <w:rFonts w:hint="eastAsia" w:ascii="宋体" w:hAnsi="宋体" w:eastAsia="宋体" w:cs="宋体"/>
        </w:rPr>
        <w:t>功能</w:t>
      </w:r>
      <w:r>
        <w:rPr>
          <w:rFonts w:hint="eastAsia" w:ascii="宋体" w:hAnsi="宋体" w:eastAsia="宋体" w:cs="宋体"/>
          <w:lang w:val="en-US" w:eastAsia="zh-CN"/>
        </w:rPr>
        <w:t>设计</w:t>
      </w:r>
    </w:p>
    <w:p w14:paraId="7F5A52EF">
      <w:pPr>
        <w:spacing w:line="360" w:lineRule="auto"/>
        <w:ind w:firstLine="560" w:firstLineChars="200"/>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支持数据集管理、智能标注、标注质检、推理样本沉淀等全流程的闭环数据管理服务，以支撑沉淀高质量数据集，并支持在AI算法训练及测试流程中可以直接调用数据集。</w:t>
      </w:r>
    </w:p>
    <w:p w14:paraId="15943CFC">
      <w:pPr>
        <w:numPr>
          <w:ilvl w:val="0"/>
          <w:numId w:val="4"/>
        </w:numPr>
        <w:tabs>
          <w:tab w:val="left" w:pos="0"/>
          <w:tab w:val="clear" w:pos="987"/>
        </w:tabs>
        <w:spacing w:line="360" w:lineRule="auto"/>
        <w:ind w:left="0" w:firstLine="560" w:firstLineChars="200"/>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支持多种数据接入形式：包括直接从数据库接入（如Hive/MySQL/GBASE等）、文件形式接入(如WEB上传/FTP/SFTP等)、API接口形式等。</w:t>
      </w:r>
    </w:p>
    <w:p w14:paraId="388A5AE6">
      <w:pPr>
        <w:pStyle w:val="2"/>
        <w:rPr>
          <w:rFonts w:hint="eastAsia"/>
          <w:lang w:val="en-US" w:eastAsia="zh-CN"/>
        </w:rPr>
      </w:pPr>
      <w:r>
        <w:drawing>
          <wp:inline distT="0" distB="0" distL="114300" distR="114300">
            <wp:extent cx="6336030" cy="3134360"/>
            <wp:effectExtent l="0" t="0" r="3810" b="508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23"/>
                    <a:stretch>
                      <a:fillRect/>
                    </a:stretch>
                  </pic:blipFill>
                  <pic:spPr>
                    <a:xfrm>
                      <a:off x="0" y="0"/>
                      <a:ext cx="6336030" cy="3134360"/>
                    </a:xfrm>
                    <a:prstGeom prst="rect">
                      <a:avLst/>
                    </a:prstGeom>
                    <a:noFill/>
                    <a:ln>
                      <a:noFill/>
                    </a:ln>
                  </pic:spPr>
                </pic:pic>
              </a:graphicData>
            </a:graphic>
          </wp:inline>
        </w:drawing>
      </w:r>
    </w:p>
    <w:p w14:paraId="2388250F">
      <w:pPr>
        <w:numPr>
          <w:ilvl w:val="0"/>
          <w:numId w:val="4"/>
        </w:numPr>
        <w:tabs>
          <w:tab w:val="left" w:pos="0"/>
          <w:tab w:val="clear" w:pos="987"/>
        </w:tabs>
        <w:spacing w:line="360" w:lineRule="auto"/>
        <w:ind w:left="0" w:firstLine="560" w:firstLineChars="200"/>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支持多种数据类型及标注格式：数据类型包括</w:t>
      </w:r>
      <w:r>
        <w:rPr>
          <w:rFonts w:hint="eastAsia" w:ascii="宋体" w:hAnsi="宋体" w:eastAsia="宋体" w:cs="宋体"/>
          <w:sz w:val="28"/>
          <w:szCs w:val="28"/>
          <w:highlight w:val="none"/>
        </w:rPr>
        <w:t>结构化</w:t>
      </w:r>
      <w:r>
        <w:rPr>
          <w:rFonts w:hint="eastAsia" w:ascii="宋体" w:hAnsi="宋体" w:eastAsia="宋体" w:cs="宋体"/>
          <w:sz w:val="28"/>
          <w:szCs w:val="28"/>
          <w:highlight w:val="none"/>
          <w:lang w:eastAsia="zh-CN"/>
        </w:rPr>
        <w:t>、</w:t>
      </w:r>
      <w:r>
        <w:rPr>
          <w:rFonts w:hint="eastAsia" w:ascii="宋体" w:hAnsi="宋体" w:eastAsia="宋体" w:cs="宋体"/>
          <w:sz w:val="28"/>
          <w:szCs w:val="28"/>
          <w:highlight w:val="none"/>
          <w:lang w:val="en-US" w:eastAsia="zh-CN"/>
        </w:rPr>
        <w:t>半结构化（</w:t>
      </w:r>
      <w:r>
        <w:rPr>
          <w:rFonts w:hint="eastAsia" w:ascii="宋体" w:hAnsi="宋体" w:eastAsia="宋体" w:cs="宋体"/>
          <w:color w:val="000000"/>
          <w:kern w:val="0"/>
          <w:sz w:val="28"/>
          <w:szCs w:val="28"/>
          <w:highlight w:val="none"/>
          <w:lang w:bidi="ar"/>
        </w:rPr>
        <w:t>HTML，JSON，XML等</w:t>
      </w:r>
      <w:r>
        <w:rPr>
          <w:rFonts w:hint="eastAsia" w:ascii="宋体" w:hAnsi="宋体" w:eastAsia="宋体" w:cs="宋体"/>
          <w:sz w:val="28"/>
          <w:szCs w:val="28"/>
          <w:highlight w:val="none"/>
          <w:lang w:val="en-US" w:eastAsia="zh-CN"/>
        </w:rPr>
        <w:t>）</w:t>
      </w:r>
      <w:r>
        <w:rPr>
          <w:rFonts w:hint="eastAsia" w:ascii="宋体" w:hAnsi="宋体" w:eastAsia="宋体" w:cs="宋体"/>
          <w:sz w:val="28"/>
          <w:szCs w:val="28"/>
          <w:highlight w:val="none"/>
        </w:rPr>
        <w:t>、非结构化（视频、图片、语音、文本等）数据</w:t>
      </w:r>
      <w:r>
        <w:rPr>
          <w:rFonts w:hint="eastAsia" w:ascii="宋体" w:hAnsi="宋体" w:eastAsia="宋体" w:cs="宋体"/>
          <w:sz w:val="28"/>
          <w:szCs w:val="28"/>
          <w:highlight w:val="none"/>
          <w:lang w:eastAsia="zh-CN"/>
        </w:rPr>
        <w:t>；</w:t>
      </w:r>
      <w:r>
        <w:rPr>
          <w:rFonts w:hint="eastAsia" w:ascii="宋体" w:hAnsi="宋体" w:eastAsia="宋体" w:cs="宋体"/>
          <w:sz w:val="28"/>
          <w:szCs w:val="28"/>
          <w:highlight w:val="none"/>
          <w:lang w:val="en-US" w:eastAsia="zh-CN"/>
        </w:rPr>
        <w:t>数据标注格式包括</w:t>
      </w:r>
      <w:r>
        <w:rPr>
          <w:rFonts w:hint="eastAsia" w:ascii="宋体" w:hAnsi="宋体" w:eastAsia="宋体" w:cs="宋体"/>
          <w:color w:val="000000"/>
          <w:kern w:val="0"/>
          <w:sz w:val="28"/>
          <w:szCs w:val="28"/>
          <w:highlight w:val="none"/>
          <w:lang w:bidi="ar"/>
        </w:rPr>
        <w:t>voc、coco、lableme等行业数据标注规范的json、xml、txt格式的样本</w:t>
      </w:r>
      <w:r>
        <w:rPr>
          <w:rFonts w:hint="eastAsia" w:ascii="宋体" w:hAnsi="宋体" w:eastAsia="宋体" w:cs="宋体"/>
          <w:color w:val="000000"/>
          <w:kern w:val="0"/>
          <w:sz w:val="28"/>
          <w:szCs w:val="28"/>
          <w:highlight w:val="none"/>
          <w:lang w:val="en-US" w:eastAsia="zh-CN" w:bidi="ar"/>
        </w:rPr>
        <w:t>标注格式。</w:t>
      </w:r>
    </w:p>
    <w:p w14:paraId="6EE33341">
      <w:pPr>
        <w:pStyle w:val="2"/>
        <w:rPr>
          <w:rFonts w:hint="eastAsia"/>
          <w:lang w:val="en-US" w:eastAsia="zh-CN"/>
        </w:rPr>
      </w:pPr>
      <w:r>
        <w:drawing>
          <wp:inline distT="0" distB="0" distL="114300" distR="114300">
            <wp:extent cx="6336665" cy="3425825"/>
            <wp:effectExtent l="0" t="0" r="3175" b="3175"/>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pic:cNvPicPr>
                      <a:picLocks noChangeAspect="1"/>
                    </pic:cNvPicPr>
                  </pic:nvPicPr>
                  <pic:blipFill>
                    <a:blip r:embed="rId24"/>
                    <a:stretch>
                      <a:fillRect/>
                    </a:stretch>
                  </pic:blipFill>
                  <pic:spPr>
                    <a:xfrm>
                      <a:off x="0" y="0"/>
                      <a:ext cx="6336665" cy="3425825"/>
                    </a:xfrm>
                    <a:prstGeom prst="rect">
                      <a:avLst/>
                    </a:prstGeom>
                    <a:noFill/>
                    <a:ln>
                      <a:noFill/>
                    </a:ln>
                  </pic:spPr>
                </pic:pic>
              </a:graphicData>
            </a:graphic>
          </wp:inline>
        </w:drawing>
      </w:r>
    </w:p>
    <w:p w14:paraId="05A746BF">
      <w:pPr>
        <w:numPr>
          <w:ilvl w:val="0"/>
          <w:numId w:val="4"/>
        </w:numPr>
        <w:tabs>
          <w:tab w:val="left" w:pos="0"/>
          <w:tab w:val="clear" w:pos="987"/>
        </w:tabs>
        <w:spacing w:line="360" w:lineRule="auto"/>
        <w:ind w:left="0" w:firstLine="560" w:firstLineChars="200"/>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支持对数据进行预处理：对数据进行数据清洗、填充、脱敏、转换、增强、抽帧等多种数据处理方式，保障数据质量，并</w:t>
      </w:r>
      <w:r>
        <w:rPr>
          <w:rFonts w:hint="eastAsia" w:ascii="宋体" w:hAnsi="宋体" w:eastAsia="宋体" w:cs="宋体"/>
          <w:sz w:val="28"/>
          <w:szCs w:val="28"/>
          <w:highlight w:val="none"/>
        </w:rPr>
        <w:t>支持将预处理后的数据发布至数据集中管理</w:t>
      </w:r>
      <w:r>
        <w:rPr>
          <w:rFonts w:hint="eastAsia" w:ascii="宋体" w:hAnsi="宋体" w:eastAsia="宋体" w:cs="宋体"/>
          <w:sz w:val="28"/>
          <w:szCs w:val="28"/>
          <w:highlight w:val="none"/>
          <w:lang w:val="en-US" w:eastAsia="zh-CN"/>
        </w:rPr>
        <w:t>。</w:t>
      </w:r>
    </w:p>
    <w:p w14:paraId="432BD02A">
      <w:pPr>
        <w:pStyle w:val="2"/>
        <w:rPr>
          <w:rFonts w:hint="eastAsia"/>
          <w:lang w:val="en-US" w:eastAsia="zh-CN"/>
        </w:rPr>
      </w:pPr>
      <w:r>
        <w:drawing>
          <wp:inline distT="0" distB="0" distL="114300" distR="114300">
            <wp:extent cx="6337935" cy="3404870"/>
            <wp:effectExtent l="0" t="0" r="1905" b="8890"/>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
                    <pic:cNvPicPr>
                      <a:picLocks noChangeAspect="1"/>
                    </pic:cNvPicPr>
                  </pic:nvPicPr>
                  <pic:blipFill>
                    <a:blip r:embed="rId25"/>
                    <a:stretch>
                      <a:fillRect/>
                    </a:stretch>
                  </pic:blipFill>
                  <pic:spPr>
                    <a:xfrm>
                      <a:off x="0" y="0"/>
                      <a:ext cx="6337935" cy="3404870"/>
                    </a:xfrm>
                    <a:prstGeom prst="rect">
                      <a:avLst/>
                    </a:prstGeom>
                    <a:noFill/>
                    <a:ln>
                      <a:noFill/>
                    </a:ln>
                  </pic:spPr>
                </pic:pic>
              </a:graphicData>
            </a:graphic>
          </wp:inline>
        </w:drawing>
      </w:r>
    </w:p>
    <w:p w14:paraId="6B606748">
      <w:pPr>
        <w:numPr>
          <w:ilvl w:val="0"/>
          <w:numId w:val="4"/>
        </w:numPr>
        <w:tabs>
          <w:tab w:val="left" w:pos="0"/>
          <w:tab w:val="clear" w:pos="987"/>
        </w:tabs>
        <w:spacing w:line="360" w:lineRule="auto"/>
        <w:ind w:left="0" w:firstLine="560" w:firstLineChars="200"/>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支持数据集合并任务：支持将相同任务场景的数据及标注进行合并，整合成新的数据集。</w:t>
      </w:r>
    </w:p>
    <w:p w14:paraId="4AB17D9B">
      <w:pPr>
        <w:numPr>
          <w:ilvl w:val="0"/>
          <w:numId w:val="4"/>
        </w:numPr>
        <w:tabs>
          <w:tab w:val="left" w:pos="0"/>
          <w:tab w:val="clear" w:pos="987"/>
        </w:tabs>
        <w:spacing w:line="360" w:lineRule="auto"/>
        <w:ind w:left="0" w:firstLine="560" w:firstLineChars="200"/>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支持数据标注任务管理</w:t>
      </w:r>
    </w:p>
    <w:p w14:paraId="25FA4D55">
      <w:pPr>
        <w:numPr>
          <w:ilvl w:val="1"/>
          <w:numId w:val="4"/>
        </w:numPr>
        <w:tabs>
          <w:tab w:val="left" w:pos="0"/>
          <w:tab w:val="clear" w:pos="1407"/>
        </w:tabs>
        <w:spacing w:line="360" w:lineRule="auto"/>
        <w:ind w:left="420" w:leftChars="0" w:firstLine="560" w:firstLineChars="200"/>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支持多种用户交互友好的数据标注工具，支持多种数据类型和任务类型的标注，包括图像、文本、音频、视频等所涉及的目标检测、实例分割、关键点标注等任务。</w:t>
      </w:r>
    </w:p>
    <w:p w14:paraId="5EF23117">
      <w:pPr>
        <w:pStyle w:val="2"/>
        <w:rPr>
          <w:rFonts w:hint="eastAsia"/>
          <w:lang w:val="en-US" w:eastAsia="zh-CN"/>
        </w:rPr>
      </w:pPr>
      <w:r>
        <w:drawing>
          <wp:inline distT="0" distB="0" distL="114300" distR="114300">
            <wp:extent cx="6337300" cy="3296920"/>
            <wp:effectExtent l="0" t="0" r="2540" b="10160"/>
            <wp:docPr id="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
                    <pic:cNvPicPr>
                      <a:picLocks noChangeAspect="1"/>
                    </pic:cNvPicPr>
                  </pic:nvPicPr>
                  <pic:blipFill>
                    <a:blip r:embed="rId26"/>
                    <a:stretch>
                      <a:fillRect/>
                    </a:stretch>
                  </pic:blipFill>
                  <pic:spPr>
                    <a:xfrm>
                      <a:off x="0" y="0"/>
                      <a:ext cx="6337300" cy="3296920"/>
                    </a:xfrm>
                    <a:prstGeom prst="rect">
                      <a:avLst/>
                    </a:prstGeom>
                    <a:noFill/>
                    <a:ln>
                      <a:noFill/>
                    </a:ln>
                  </pic:spPr>
                </pic:pic>
              </a:graphicData>
            </a:graphic>
          </wp:inline>
        </w:drawing>
      </w:r>
    </w:p>
    <w:p w14:paraId="5FB530FF">
      <w:pPr>
        <w:numPr>
          <w:ilvl w:val="1"/>
          <w:numId w:val="4"/>
        </w:numPr>
        <w:tabs>
          <w:tab w:val="left" w:pos="0"/>
          <w:tab w:val="clear" w:pos="1407"/>
        </w:tabs>
        <w:spacing w:line="360" w:lineRule="auto"/>
        <w:ind w:left="420" w:leftChars="0" w:firstLine="560" w:firstLineChars="200"/>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支持智能标注，通过平台预置模型、调用已部署能力、用户自定义模型、自动迭代标注等形式实现常用任务的智能标注功能，并支持人工修复自动标注的结果。</w:t>
      </w:r>
    </w:p>
    <w:p w14:paraId="632D1DDD">
      <w:pPr>
        <w:pStyle w:val="2"/>
        <w:rPr>
          <w:rFonts w:hint="eastAsia"/>
          <w:lang w:val="en-US" w:eastAsia="zh-CN"/>
        </w:rPr>
      </w:pPr>
      <w:r>
        <w:drawing>
          <wp:inline distT="0" distB="0" distL="114300" distR="114300">
            <wp:extent cx="6341110" cy="3548380"/>
            <wp:effectExtent l="0" t="0" r="13970" b="2540"/>
            <wp:docPr id="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
                    <pic:cNvPicPr>
                      <a:picLocks noChangeAspect="1"/>
                    </pic:cNvPicPr>
                  </pic:nvPicPr>
                  <pic:blipFill>
                    <a:blip r:embed="rId27"/>
                    <a:stretch>
                      <a:fillRect/>
                    </a:stretch>
                  </pic:blipFill>
                  <pic:spPr>
                    <a:xfrm>
                      <a:off x="0" y="0"/>
                      <a:ext cx="6341110" cy="3548380"/>
                    </a:xfrm>
                    <a:prstGeom prst="rect">
                      <a:avLst/>
                    </a:prstGeom>
                    <a:noFill/>
                    <a:ln>
                      <a:noFill/>
                    </a:ln>
                  </pic:spPr>
                </pic:pic>
              </a:graphicData>
            </a:graphic>
          </wp:inline>
        </w:drawing>
      </w:r>
    </w:p>
    <w:p w14:paraId="6BA8DE22">
      <w:pPr>
        <w:numPr>
          <w:ilvl w:val="1"/>
          <w:numId w:val="4"/>
        </w:numPr>
        <w:tabs>
          <w:tab w:val="left" w:pos="0"/>
          <w:tab w:val="clear" w:pos="1407"/>
        </w:tabs>
        <w:spacing w:line="360" w:lineRule="auto"/>
        <w:ind w:left="420" w:leftChars="0" w:firstLine="560" w:firstLineChars="200"/>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支持标注任务管理，包括任务建立、任务分派、成员管理、进度管理与跟踪、质量控制、结果审核等标注全生命周期管理。</w:t>
      </w:r>
    </w:p>
    <w:p w14:paraId="222DB575">
      <w:pPr>
        <w:pStyle w:val="2"/>
        <w:rPr>
          <w:rFonts w:hint="eastAsia"/>
          <w:lang w:val="en-US" w:eastAsia="zh-CN"/>
        </w:rPr>
      </w:pPr>
      <w:r>
        <w:drawing>
          <wp:inline distT="0" distB="0" distL="114300" distR="114300">
            <wp:extent cx="6331585" cy="3526155"/>
            <wp:effectExtent l="0" t="0" r="8255" b="9525"/>
            <wp:docPr id="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
                    <pic:cNvPicPr>
                      <a:picLocks noChangeAspect="1"/>
                    </pic:cNvPicPr>
                  </pic:nvPicPr>
                  <pic:blipFill>
                    <a:blip r:embed="rId28"/>
                    <a:stretch>
                      <a:fillRect/>
                    </a:stretch>
                  </pic:blipFill>
                  <pic:spPr>
                    <a:xfrm>
                      <a:off x="0" y="0"/>
                      <a:ext cx="6331585" cy="3526155"/>
                    </a:xfrm>
                    <a:prstGeom prst="rect">
                      <a:avLst/>
                    </a:prstGeom>
                    <a:noFill/>
                    <a:ln>
                      <a:noFill/>
                    </a:ln>
                  </pic:spPr>
                </pic:pic>
              </a:graphicData>
            </a:graphic>
          </wp:inline>
        </w:drawing>
      </w:r>
    </w:p>
    <w:p w14:paraId="20CF92CD">
      <w:pPr>
        <w:numPr>
          <w:ilvl w:val="0"/>
          <w:numId w:val="4"/>
        </w:numPr>
        <w:tabs>
          <w:tab w:val="left" w:pos="0"/>
          <w:tab w:val="clear" w:pos="987"/>
        </w:tabs>
        <w:spacing w:line="360" w:lineRule="auto"/>
        <w:ind w:left="0" w:firstLine="560" w:firstLineChars="200"/>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支持数据沉淀管理：支持将平台的模型能力调用的数据回流到平台数据管理，为模型迭代优化提供丰富的基础。</w:t>
      </w:r>
    </w:p>
    <w:p w14:paraId="1B990890">
      <w:pPr>
        <w:numPr>
          <w:ilvl w:val="0"/>
          <w:numId w:val="0"/>
        </w:numPr>
        <w:ind w:leftChars="0"/>
        <w:rPr>
          <w:rFonts w:hint="default" w:ascii="宋体" w:hAnsi="宋体" w:eastAsia="宋体" w:cs="宋体"/>
        </w:rPr>
      </w:pPr>
      <w:r>
        <w:drawing>
          <wp:inline distT="0" distB="0" distL="114300" distR="114300">
            <wp:extent cx="6330950" cy="3514725"/>
            <wp:effectExtent l="0" t="0" r="8890" b="5715"/>
            <wp:docPr id="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
                    <pic:cNvPicPr>
                      <a:picLocks noChangeAspect="1"/>
                    </pic:cNvPicPr>
                  </pic:nvPicPr>
                  <pic:blipFill>
                    <a:blip r:embed="rId29"/>
                    <a:stretch>
                      <a:fillRect/>
                    </a:stretch>
                  </pic:blipFill>
                  <pic:spPr>
                    <a:xfrm>
                      <a:off x="0" y="0"/>
                      <a:ext cx="6330950" cy="3514725"/>
                    </a:xfrm>
                    <a:prstGeom prst="rect">
                      <a:avLst/>
                    </a:prstGeom>
                    <a:noFill/>
                    <a:ln>
                      <a:noFill/>
                    </a:ln>
                  </pic:spPr>
                </pic:pic>
              </a:graphicData>
            </a:graphic>
          </wp:inline>
        </w:drawing>
      </w:r>
    </w:p>
    <w:p w14:paraId="037E2D32">
      <w:pPr>
        <w:pStyle w:val="38"/>
        <w:numPr>
          <w:ilvl w:val="4"/>
          <w:numId w:val="1"/>
        </w:numPr>
        <w:ind w:left="992" w:leftChars="0" w:hanging="992" w:firstLineChars="0"/>
        <w:outlineLvl w:val="4"/>
        <w:rPr>
          <w:rFonts w:hint="default"/>
        </w:rPr>
      </w:pPr>
      <w:r>
        <w:rPr>
          <w:rFonts w:hint="default"/>
        </w:rPr>
        <w:t>智能数据集构建能力</w:t>
      </w:r>
    </w:p>
    <w:p w14:paraId="224DF4A5">
      <w:pPr>
        <w:pStyle w:val="38"/>
        <w:numPr>
          <w:ilvl w:val="5"/>
          <w:numId w:val="1"/>
        </w:numPr>
        <w:ind w:left="1134" w:leftChars="0" w:hanging="1134" w:firstLineChars="0"/>
        <w:outlineLvl w:val="5"/>
      </w:pPr>
      <w:r>
        <w:rPr>
          <w:rFonts w:hint="default"/>
        </w:rPr>
        <w:t>生成式AI数据集支持</w:t>
      </w:r>
    </w:p>
    <w:p w14:paraId="1672CD7A">
      <w:pPr>
        <w:numPr>
          <w:ilvl w:val="0"/>
          <w:numId w:val="3"/>
        </w:numPr>
        <w:ind w:left="420" w:leftChars="0" w:hanging="420" w:firstLineChars="0"/>
        <w:rPr>
          <w:rFonts w:hint="default" w:ascii="宋体" w:hAnsi="宋体" w:eastAsia="宋体" w:cs="宋体"/>
        </w:rPr>
      </w:pPr>
      <w:r>
        <w:rPr>
          <w:rFonts w:hint="default" w:ascii="宋体" w:hAnsi="宋体" w:eastAsia="宋体" w:cs="宋体"/>
        </w:rPr>
        <w:t>图生文数据集：支持图片-文本描述配对数据构建</w:t>
      </w:r>
    </w:p>
    <w:p w14:paraId="3D1C56D5">
      <w:pPr>
        <w:numPr>
          <w:ilvl w:val="0"/>
          <w:numId w:val="3"/>
        </w:numPr>
        <w:ind w:left="420" w:leftChars="0" w:hanging="420" w:firstLineChars="0"/>
        <w:rPr>
          <w:rFonts w:hint="default" w:ascii="宋体" w:hAnsi="宋体" w:eastAsia="宋体" w:cs="宋体"/>
        </w:rPr>
      </w:pPr>
      <w:r>
        <w:rPr>
          <w:rFonts w:hint="default" w:ascii="宋体" w:hAnsi="宋体" w:eastAsia="宋体" w:cs="宋体"/>
        </w:rPr>
        <w:t>向量数据集：提供Embedding向量存储与相似度检索</w:t>
      </w:r>
    </w:p>
    <w:p w14:paraId="38B94531">
      <w:pPr>
        <w:numPr>
          <w:ilvl w:val="0"/>
          <w:numId w:val="3"/>
        </w:numPr>
        <w:ind w:left="420" w:leftChars="0" w:hanging="420" w:firstLineChars="0"/>
        <w:rPr>
          <w:rFonts w:hint="default" w:ascii="宋体" w:hAnsi="宋体" w:eastAsia="宋体" w:cs="宋体"/>
        </w:rPr>
      </w:pPr>
      <w:r>
        <w:rPr>
          <w:rFonts w:hint="default" w:ascii="宋体" w:hAnsi="宋体" w:eastAsia="宋体" w:cs="宋体"/>
        </w:rPr>
        <w:t>对话指令集：支持多轮对话结构（含角色标记）的语料管理</w:t>
      </w:r>
    </w:p>
    <w:p w14:paraId="74FB9467">
      <w:pPr>
        <w:pStyle w:val="38"/>
        <w:numPr>
          <w:ilvl w:val="5"/>
          <w:numId w:val="1"/>
        </w:numPr>
        <w:ind w:left="1134" w:leftChars="0" w:hanging="1134" w:firstLineChars="0"/>
        <w:outlineLvl w:val="5"/>
      </w:pPr>
      <w:r>
        <w:rPr>
          <w:rFonts w:hint="default"/>
        </w:rPr>
        <w:t>2.2 自动化处理能力</w:t>
      </w:r>
    </w:p>
    <w:p w14:paraId="08A5A6B6">
      <w:pPr>
        <w:numPr>
          <w:ilvl w:val="0"/>
          <w:numId w:val="3"/>
        </w:numPr>
        <w:ind w:left="420" w:leftChars="0" w:hanging="420" w:firstLineChars="0"/>
        <w:rPr>
          <w:rFonts w:hint="default" w:ascii="宋体" w:hAnsi="宋体" w:eastAsia="宋体" w:cs="宋体"/>
        </w:rPr>
      </w:pPr>
      <w:r>
        <w:rPr>
          <w:rFonts w:hint="default" w:ascii="宋体" w:hAnsi="宋体" w:eastAsia="宋体" w:cs="宋体"/>
        </w:rPr>
        <w:t>内置标注格式转换工具（如COCO↔YOLO双向转换）</w:t>
      </w:r>
    </w:p>
    <w:p w14:paraId="2C74C321">
      <w:pPr>
        <w:numPr>
          <w:ilvl w:val="0"/>
          <w:numId w:val="3"/>
        </w:numPr>
        <w:ind w:left="420" w:leftChars="0" w:hanging="420" w:firstLineChars="0"/>
        <w:rPr>
          <w:rFonts w:hint="eastAsia" w:ascii="宋体" w:hAnsi="宋体" w:eastAsia="宋体" w:cs="宋体"/>
          <w:lang w:eastAsia="zh-CN"/>
        </w:rPr>
      </w:pPr>
      <w:r>
        <w:rPr>
          <w:rFonts w:hint="default" w:ascii="宋体" w:hAnsi="宋体" w:eastAsia="宋体" w:cs="宋体"/>
        </w:rPr>
        <w:t>支持自动生成数据集统计报告（类目分布/标注质量分析</w:t>
      </w:r>
      <w:r>
        <w:rPr>
          <w:rFonts w:hint="eastAsia" w:ascii="宋体" w:hAnsi="宋体" w:eastAsia="宋体" w:cs="宋体"/>
          <w:lang w:eastAsia="zh-CN"/>
        </w:rPr>
        <w:t>。</w:t>
      </w:r>
    </w:p>
    <w:p w14:paraId="643A4F2D">
      <w:pPr>
        <w:numPr>
          <w:ilvl w:val="0"/>
          <w:numId w:val="3"/>
        </w:numPr>
        <w:ind w:left="420" w:leftChars="0" w:hanging="420" w:firstLineChars="0"/>
        <w:rPr>
          <w:rFonts w:hint="eastAsia" w:ascii="Times New Roman" w:hAnsi="Times New Roman" w:cs="Times New Roman"/>
        </w:rPr>
      </w:pPr>
      <w:r>
        <w:rPr>
          <w:rFonts w:hint="default" w:ascii="宋体" w:hAnsi="宋体" w:eastAsia="宋体" w:cs="宋体"/>
        </w:rPr>
        <w:t>提供数据增强管道（图像旋转/色彩变换/语音加噪等）</w:t>
      </w:r>
    </w:p>
    <w:p w14:paraId="207A6426">
      <w:pPr>
        <w:pStyle w:val="38"/>
        <w:numPr>
          <w:ilvl w:val="3"/>
          <w:numId w:val="1"/>
        </w:numPr>
        <w:outlineLvl w:val="3"/>
        <w:rPr>
          <w:rFonts w:hint="eastAsia"/>
        </w:rPr>
      </w:pPr>
      <w:r>
        <w:rPr>
          <w:rFonts w:hint="eastAsia"/>
        </w:rPr>
        <w:t>数据标注</w:t>
      </w:r>
    </w:p>
    <w:p w14:paraId="158C425E">
      <w:pPr>
        <w:pStyle w:val="38"/>
        <w:numPr>
          <w:ilvl w:val="4"/>
          <w:numId w:val="1"/>
        </w:numPr>
        <w:ind w:left="992" w:leftChars="0" w:hanging="992" w:firstLineChars="0"/>
        <w:outlineLvl w:val="4"/>
        <w:rPr>
          <w:rFonts w:hint="default"/>
        </w:rPr>
      </w:pPr>
      <w:r>
        <w:rPr>
          <w:rFonts w:hint="default"/>
        </w:rPr>
        <w:t>标注任务管理</w:t>
      </w:r>
    </w:p>
    <w:p w14:paraId="78ABC28C">
      <w:pPr>
        <w:ind w:firstLine="480"/>
        <w:rPr>
          <w:rFonts w:hint="default" w:ascii="Times New Roman" w:hAnsi="Times New Roman" w:cs="Times New Roman"/>
        </w:rPr>
      </w:pPr>
      <w:r>
        <w:rPr>
          <w:rFonts w:hint="default" w:ascii="Times New Roman" w:hAnsi="Times New Roman" w:cs="Times New Roman"/>
        </w:rPr>
        <w:t>支持用户对数据标注任务进行管理，实现对文本、图片、视频非结构化数据进行多场景标注。</w:t>
      </w:r>
    </w:p>
    <w:p w14:paraId="2B4FB1CC">
      <w:pPr>
        <w:ind w:firstLine="480"/>
        <w:rPr>
          <w:rFonts w:hint="default" w:ascii="Times New Roman" w:hAnsi="Times New Roman" w:cs="Times New Roman"/>
        </w:rPr>
      </w:pPr>
      <w:r>
        <w:rPr>
          <w:rFonts w:hint="default" w:ascii="Times New Roman" w:hAnsi="Times New Roman" w:cs="Times New Roman"/>
        </w:rPr>
        <w:t>通过选择数据集、数据标注对象和数据标注场景，完成标注任务创建，标注任务包括人工标注任务和智能标注任务。</w:t>
      </w:r>
    </w:p>
    <w:p w14:paraId="2AF67254">
      <w:pPr>
        <w:pStyle w:val="3"/>
        <w:jc w:val="both"/>
        <w:rPr>
          <w:rFonts w:hint="default" w:ascii="Times New Roman" w:hAnsi="Times New Roman" w:cs="Times New Roman"/>
        </w:rPr>
      </w:pPr>
      <w:r>
        <w:rPr>
          <w:rFonts w:hint="default" w:ascii="Times New Roman" w:hAnsi="Times New Roman" w:cs="Times New Roman"/>
        </w:rPr>
        <w:drawing>
          <wp:inline distT="0" distB="0" distL="114300" distR="114300">
            <wp:extent cx="3981450" cy="3234055"/>
            <wp:effectExtent l="0" t="0" r="11430" b="12065"/>
            <wp:docPr id="73" name="图片 4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1" descr="图示&#10;&#10;描述已自动生成"/>
                    <pic:cNvPicPr>
                      <a:picLocks noChangeAspect="1"/>
                    </pic:cNvPicPr>
                  </pic:nvPicPr>
                  <pic:blipFill>
                    <a:blip r:embed="rId30"/>
                    <a:stretch>
                      <a:fillRect/>
                    </a:stretch>
                  </pic:blipFill>
                  <pic:spPr>
                    <a:xfrm>
                      <a:off x="0" y="0"/>
                      <a:ext cx="3981450" cy="3234055"/>
                    </a:xfrm>
                    <a:prstGeom prst="rect">
                      <a:avLst/>
                    </a:prstGeom>
                    <a:noFill/>
                    <a:ln>
                      <a:noFill/>
                    </a:ln>
                  </pic:spPr>
                </pic:pic>
              </a:graphicData>
            </a:graphic>
          </wp:inline>
        </w:drawing>
      </w:r>
    </w:p>
    <w:p w14:paraId="310D7F4F">
      <w:pPr>
        <w:pStyle w:val="3"/>
        <w:rPr>
          <w:rFonts w:hint="default" w:ascii="Times New Roman" w:hAnsi="Times New Roman" w:cs="Times New Roman"/>
        </w:rPr>
      </w:pPr>
      <w:r>
        <w:rPr>
          <w:rFonts w:hint="default" w:ascii="Times New Roman" w:hAnsi="Times New Roman" w:cs="Times New Roman"/>
        </w:rPr>
        <w:t>标注任务管理流程图</w:t>
      </w:r>
    </w:p>
    <w:p w14:paraId="4FF04FB8">
      <w:pPr>
        <w:ind w:firstLine="480"/>
        <w:rPr>
          <w:rFonts w:hint="default" w:ascii="Times New Roman" w:hAnsi="Times New Roman" w:cs="Times New Roman"/>
        </w:rPr>
      </w:pPr>
      <w:r>
        <w:rPr>
          <w:rFonts w:hint="default" w:ascii="Times New Roman" w:hAnsi="Times New Roman" w:cs="Times New Roman"/>
        </w:rPr>
        <w:t>支持数据标注任务的创建、修改、删除、查询、查看详细概述、列表展示等功能，支持人工标注任务和智能标注任务的创建和管理</w:t>
      </w:r>
    </w:p>
    <w:p w14:paraId="20BADB51">
      <w:pPr>
        <w:pStyle w:val="38"/>
        <w:numPr>
          <w:ilvl w:val="4"/>
          <w:numId w:val="1"/>
        </w:numPr>
        <w:ind w:left="992" w:leftChars="0" w:hanging="992" w:firstLineChars="0"/>
        <w:outlineLvl w:val="4"/>
        <w:rPr>
          <w:rFonts w:hint="default"/>
        </w:rPr>
      </w:pPr>
      <w:r>
        <w:rPr>
          <w:rFonts w:hint="default"/>
        </w:rPr>
        <w:t>标注任务创建</w:t>
      </w:r>
    </w:p>
    <w:p w14:paraId="24E64627">
      <w:pPr>
        <w:ind w:firstLine="480"/>
        <w:rPr>
          <w:rFonts w:hint="default" w:ascii="Times New Roman" w:hAnsi="Times New Roman" w:cs="Times New Roman"/>
        </w:rPr>
      </w:pPr>
      <w:r>
        <w:rPr>
          <w:rFonts w:hint="default" w:ascii="Times New Roman" w:hAnsi="Times New Roman" w:cs="Times New Roman"/>
        </w:rPr>
        <w:t>支持创建数据标注任务，创新任务时需填写标注任务基本信息、标注配置和作业配置信息，点击提交等待任务创建成功。</w:t>
      </w:r>
    </w:p>
    <w:p w14:paraId="129C5303">
      <w:pPr>
        <w:ind w:firstLine="480"/>
        <w:rPr>
          <w:rFonts w:hint="default" w:ascii="Times New Roman" w:hAnsi="Times New Roman" w:eastAsia="宋体" w:cs="Times New Roman"/>
          <w:szCs w:val="24"/>
        </w:rPr>
      </w:pPr>
      <w:r>
        <w:rPr>
          <w:rFonts w:hint="default" w:ascii="Times New Roman" w:hAnsi="Times New Roman" w:cs="Times New Roman"/>
        </w:rPr>
        <w:t>标注任务可选择标注的数据集和数据版本，并描述标注任务的用途和目标。</w:t>
      </w:r>
    </w:p>
    <w:p w14:paraId="31E819C2">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2405" cy="1152525"/>
            <wp:effectExtent l="0" t="0" r="635" b="5715"/>
            <wp:docPr id="14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42"/>
                    <pic:cNvPicPr>
                      <a:picLocks noChangeAspect="1"/>
                    </pic:cNvPicPr>
                  </pic:nvPicPr>
                  <pic:blipFill>
                    <a:blip r:embed="rId31"/>
                    <a:stretch>
                      <a:fillRect/>
                    </a:stretch>
                  </pic:blipFill>
                  <pic:spPr>
                    <a:xfrm>
                      <a:off x="0" y="0"/>
                      <a:ext cx="5272405" cy="1152525"/>
                    </a:xfrm>
                    <a:prstGeom prst="rect">
                      <a:avLst/>
                    </a:prstGeom>
                    <a:noFill/>
                    <a:ln>
                      <a:noFill/>
                    </a:ln>
                  </pic:spPr>
                </pic:pic>
              </a:graphicData>
            </a:graphic>
          </wp:inline>
        </w:drawing>
      </w:r>
    </w:p>
    <w:p w14:paraId="77515AC4">
      <w:pPr>
        <w:pStyle w:val="3"/>
        <w:rPr>
          <w:rFonts w:hint="default" w:ascii="Times New Roman" w:hAnsi="Times New Roman" w:cs="Times New Roman"/>
        </w:rPr>
      </w:pPr>
      <w:bookmarkStart w:id="64" w:name="_Toc140249117"/>
      <w:bookmarkStart w:id="65" w:name="_Toc165908469"/>
      <w:r>
        <w:rPr>
          <w:rFonts w:hint="default" w:ascii="Times New Roman" w:hAnsi="Times New Roman" w:cs="Times New Roman"/>
        </w:rPr>
        <w:t>新增数据标注任务1</w:t>
      </w:r>
      <w:bookmarkEnd w:id="64"/>
      <w:bookmarkEnd w:id="65"/>
    </w:p>
    <w:p w14:paraId="14248543">
      <w:pPr>
        <w:ind w:firstLine="480"/>
        <w:rPr>
          <w:rFonts w:hint="default" w:ascii="Times New Roman" w:hAnsi="Times New Roman" w:cs="Times New Roman"/>
        </w:rPr>
      </w:pPr>
      <w:r>
        <w:rPr>
          <w:rFonts w:hint="default" w:ascii="Times New Roman" w:hAnsi="Times New Roman" w:cs="Times New Roman"/>
        </w:rPr>
        <w:t>标注任务可选择标注对象、标注场景</w:t>
      </w:r>
    </w:p>
    <w:p w14:paraId="0ADCDECC">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6850" cy="2605405"/>
            <wp:effectExtent l="0" t="0" r="11430" b="635"/>
            <wp:docPr id="13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3"/>
                    <pic:cNvPicPr>
                      <a:picLocks noChangeAspect="1"/>
                    </pic:cNvPicPr>
                  </pic:nvPicPr>
                  <pic:blipFill>
                    <a:blip r:embed="rId32"/>
                    <a:stretch>
                      <a:fillRect/>
                    </a:stretch>
                  </pic:blipFill>
                  <pic:spPr>
                    <a:xfrm>
                      <a:off x="0" y="0"/>
                      <a:ext cx="5276850" cy="2605405"/>
                    </a:xfrm>
                    <a:prstGeom prst="rect">
                      <a:avLst/>
                    </a:prstGeom>
                    <a:noFill/>
                    <a:ln>
                      <a:noFill/>
                    </a:ln>
                  </pic:spPr>
                </pic:pic>
              </a:graphicData>
            </a:graphic>
          </wp:inline>
        </w:drawing>
      </w:r>
    </w:p>
    <w:p w14:paraId="4CC3206B">
      <w:pPr>
        <w:pStyle w:val="3"/>
        <w:rPr>
          <w:rFonts w:hint="default" w:ascii="Times New Roman" w:hAnsi="Times New Roman" w:cs="Times New Roman"/>
        </w:rPr>
      </w:pPr>
      <w:bookmarkStart w:id="66" w:name="_Toc165908470"/>
      <w:bookmarkStart w:id="67" w:name="_Toc140249118"/>
      <w:r>
        <w:rPr>
          <w:rFonts w:hint="default" w:ascii="Times New Roman" w:hAnsi="Times New Roman" w:cs="Times New Roman"/>
        </w:rPr>
        <w:t>图：新增数据标注任务2</w:t>
      </w:r>
      <w:bookmarkEnd w:id="66"/>
      <w:bookmarkEnd w:id="67"/>
    </w:p>
    <w:p w14:paraId="402A9BCC">
      <w:pPr>
        <w:ind w:firstLine="480"/>
        <w:rPr>
          <w:rFonts w:hint="default" w:ascii="Times New Roman" w:hAnsi="Times New Roman" w:cs="Times New Roman"/>
        </w:rPr>
      </w:pPr>
      <w:r>
        <w:rPr>
          <w:rFonts w:hint="default" w:ascii="Times New Roman" w:hAnsi="Times New Roman" w:cs="Times New Roman"/>
        </w:rPr>
        <w:t>标注任务可选择工作流类型，并设置标注拆分作业数</w:t>
      </w:r>
    </w:p>
    <w:p w14:paraId="773B74CD">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6850" cy="2291080"/>
            <wp:effectExtent l="0" t="0" r="11430" b="10160"/>
            <wp:docPr id="1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3"/>
                    <pic:cNvPicPr>
                      <a:picLocks noChangeAspect="1"/>
                    </pic:cNvPicPr>
                  </pic:nvPicPr>
                  <pic:blipFill>
                    <a:blip r:embed="rId33"/>
                    <a:stretch>
                      <a:fillRect/>
                    </a:stretch>
                  </pic:blipFill>
                  <pic:spPr>
                    <a:xfrm>
                      <a:off x="0" y="0"/>
                      <a:ext cx="5276850" cy="2291080"/>
                    </a:xfrm>
                    <a:prstGeom prst="rect">
                      <a:avLst/>
                    </a:prstGeom>
                    <a:noFill/>
                    <a:ln>
                      <a:noFill/>
                    </a:ln>
                  </pic:spPr>
                </pic:pic>
              </a:graphicData>
            </a:graphic>
          </wp:inline>
        </w:drawing>
      </w:r>
    </w:p>
    <w:p w14:paraId="0FF8C01E">
      <w:pPr>
        <w:pStyle w:val="3"/>
        <w:rPr>
          <w:rFonts w:hint="default" w:ascii="Times New Roman" w:hAnsi="Times New Roman" w:cs="Times New Roman"/>
        </w:rPr>
      </w:pPr>
      <w:bookmarkStart w:id="68" w:name="_Toc165908471"/>
      <w:bookmarkStart w:id="69" w:name="_Toc140249119"/>
      <w:r>
        <w:rPr>
          <w:rFonts w:hint="default" w:ascii="Times New Roman" w:hAnsi="Times New Roman" w:cs="Times New Roman"/>
        </w:rPr>
        <w:t>图：新增数据标注任务3</w:t>
      </w:r>
      <w:bookmarkEnd w:id="68"/>
      <w:bookmarkEnd w:id="69"/>
    </w:p>
    <w:p w14:paraId="0AF0310C">
      <w:pPr>
        <w:pStyle w:val="38"/>
        <w:numPr>
          <w:ilvl w:val="4"/>
          <w:numId w:val="1"/>
        </w:numPr>
        <w:ind w:left="992" w:leftChars="0" w:hanging="992" w:firstLineChars="0"/>
        <w:outlineLvl w:val="4"/>
        <w:rPr>
          <w:rFonts w:hint="default"/>
        </w:rPr>
      </w:pPr>
      <w:r>
        <w:rPr>
          <w:rFonts w:hint="default"/>
        </w:rPr>
        <w:t>标注任务查询</w:t>
      </w:r>
    </w:p>
    <w:p w14:paraId="0422CD1C">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6850" cy="1819275"/>
            <wp:effectExtent l="0" t="0" r="11430" b="9525"/>
            <wp:docPr id="14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45"/>
                    <pic:cNvPicPr>
                      <a:picLocks noChangeAspect="1"/>
                    </pic:cNvPicPr>
                  </pic:nvPicPr>
                  <pic:blipFill>
                    <a:blip r:embed="rId34"/>
                    <a:stretch>
                      <a:fillRect/>
                    </a:stretch>
                  </pic:blipFill>
                  <pic:spPr>
                    <a:xfrm>
                      <a:off x="0" y="0"/>
                      <a:ext cx="5276850" cy="1819275"/>
                    </a:xfrm>
                    <a:prstGeom prst="rect">
                      <a:avLst/>
                    </a:prstGeom>
                    <a:noFill/>
                    <a:ln>
                      <a:noFill/>
                    </a:ln>
                  </pic:spPr>
                </pic:pic>
              </a:graphicData>
            </a:graphic>
          </wp:inline>
        </w:drawing>
      </w:r>
    </w:p>
    <w:p w14:paraId="34F3BB30">
      <w:pPr>
        <w:pStyle w:val="3"/>
        <w:rPr>
          <w:rFonts w:hint="default" w:ascii="Times New Roman" w:hAnsi="Times New Roman" w:cs="Times New Roman"/>
        </w:rPr>
      </w:pPr>
      <w:bookmarkStart w:id="70" w:name="_Toc140249114"/>
      <w:bookmarkStart w:id="71" w:name="_Toc165908466"/>
      <w:r>
        <w:rPr>
          <w:rFonts w:hint="default" w:ascii="Times New Roman" w:hAnsi="Times New Roman" w:cs="Times New Roman"/>
        </w:rPr>
        <w:t>图：数据标注任务列表</w:t>
      </w:r>
      <w:bookmarkEnd w:id="70"/>
      <w:bookmarkEnd w:id="71"/>
    </w:p>
    <w:p w14:paraId="38A93DB1">
      <w:pPr>
        <w:ind w:firstLine="480"/>
        <w:rPr>
          <w:rFonts w:hint="default" w:ascii="Times New Roman" w:hAnsi="Times New Roman" w:cs="Times New Roman"/>
        </w:rPr>
      </w:pPr>
      <w:r>
        <w:rPr>
          <w:rFonts w:hint="default" w:ascii="Times New Roman" w:hAnsi="Times New Roman" w:cs="Times New Roman"/>
        </w:rPr>
        <w:t>支持在任务列表中可以根据条件过滤筛选，可输入数据标注任务名称，选择任务状态、标注人员进行搜索，支持任务名称模糊搜索。</w:t>
      </w:r>
    </w:p>
    <w:p w14:paraId="3C43F9E4">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81930" cy="1352550"/>
            <wp:effectExtent l="0" t="0" r="6350" b="3810"/>
            <wp:docPr id="7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6"/>
                    <pic:cNvPicPr>
                      <a:picLocks noChangeAspect="1"/>
                    </pic:cNvPicPr>
                  </pic:nvPicPr>
                  <pic:blipFill>
                    <a:blip r:embed="rId35"/>
                    <a:stretch>
                      <a:fillRect/>
                    </a:stretch>
                  </pic:blipFill>
                  <pic:spPr>
                    <a:xfrm>
                      <a:off x="0" y="0"/>
                      <a:ext cx="5281930" cy="1352550"/>
                    </a:xfrm>
                    <a:prstGeom prst="rect">
                      <a:avLst/>
                    </a:prstGeom>
                    <a:noFill/>
                    <a:ln>
                      <a:noFill/>
                    </a:ln>
                  </pic:spPr>
                </pic:pic>
              </a:graphicData>
            </a:graphic>
          </wp:inline>
        </w:drawing>
      </w:r>
    </w:p>
    <w:p w14:paraId="18DA97AE">
      <w:pPr>
        <w:pStyle w:val="3"/>
        <w:rPr>
          <w:rFonts w:hint="default" w:ascii="Times New Roman" w:hAnsi="Times New Roman" w:cs="Times New Roman"/>
        </w:rPr>
      </w:pPr>
      <w:bookmarkStart w:id="72" w:name="_Toc165908467"/>
      <w:bookmarkStart w:id="73" w:name="_Toc140249115"/>
      <w:r>
        <w:rPr>
          <w:rFonts w:hint="default" w:ascii="Times New Roman" w:hAnsi="Times New Roman" w:cs="Times New Roman"/>
        </w:rPr>
        <w:t>图：查询数据标注任务</w:t>
      </w:r>
      <w:bookmarkEnd w:id="72"/>
      <w:bookmarkEnd w:id="73"/>
    </w:p>
    <w:p w14:paraId="4D881707">
      <w:pPr>
        <w:ind w:firstLine="480"/>
        <w:rPr>
          <w:rFonts w:hint="default" w:ascii="Times New Roman" w:hAnsi="Times New Roman" w:cs="Times New Roman"/>
        </w:rPr>
      </w:pPr>
      <w:r>
        <w:rPr>
          <w:rFonts w:hint="default" w:ascii="Times New Roman" w:hAnsi="Times New Roman" w:cs="Times New Roman"/>
        </w:rPr>
        <w:t>列表支持根据排序条件可进行排序，可选排序条件为按创建时间和按任务名称。默认按创建时间倒序排序。</w:t>
      </w:r>
    </w:p>
    <w:p w14:paraId="35AD1490">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81930" cy="1514475"/>
            <wp:effectExtent l="0" t="0" r="6350" b="9525"/>
            <wp:docPr id="7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7"/>
                    <pic:cNvPicPr>
                      <a:picLocks noChangeAspect="1"/>
                    </pic:cNvPicPr>
                  </pic:nvPicPr>
                  <pic:blipFill>
                    <a:blip r:embed="rId36"/>
                    <a:stretch>
                      <a:fillRect/>
                    </a:stretch>
                  </pic:blipFill>
                  <pic:spPr>
                    <a:xfrm>
                      <a:off x="0" y="0"/>
                      <a:ext cx="5281930" cy="1514475"/>
                    </a:xfrm>
                    <a:prstGeom prst="rect">
                      <a:avLst/>
                    </a:prstGeom>
                    <a:noFill/>
                    <a:ln>
                      <a:noFill/>
                    </a:ln>
                  </pic:spPr>
                </pic:pic>
              </a:graphicData>
            </a:graphic>
          </wp:inline>
        </w:drawing>
      </w:r>
    </w:p>
    <w:p w14:paraId="4079872E">
      <w:pPr>
        <w:pStyle w:val="3"/>
        <w:rPr>
          <w:rFonts w:hint="default" w:ascii="Times New Roman" w:hAnsi="Times New Roman" w:cs="Times New Roman"/>
        </w:rPr>
      </w:pPr>
      <w:bookmarkStart w:id="74" w:name="_Toc165908468"/>
      <w:bookmarkStart w:id="75" w:name="_Toc140249116"/>
      <w:r>
        <w:rPr>
          <w:rFonts w:hint="default" w:ascii="Times New Roman" w:hAnsi="Times New Roman" w:cs="Times New Roman"/>
        </w:rPr>
        <w:t>图：排序数据标注任务</w:t>
      </w:r>
      <w:bookmarkEnd w:id="74"/>
      <w:bookmarkEnd w:id="75"/>
    </w:p>
    <w:p w14:paraId="1148EA8A">
      <w:pPr>
        <w:ind w:firstLine="480"/>
        <w:rPr>
          <w:rFonts w:hint="default" w:ascii="Times New Roman" w:hAnsi="Times New Roman" w:cs="Times New Roman"/>
        </w:rPr>
      </w:pPr>
      <w:r>
        <w:rPr>
          <w:rFonts w:hint="default" w:ascii="Times New Roman" w:hAnsi="Times New Roman" w:cs="Times New Roman"/>
        </w:rPr>
        <w:t>支持点击列表操作中的“删除”，可以删除标注任务。</w:t>
      </w:r>
    </w:p>
    <w:p w14:paraId="70F5C710">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2405" cy="1343025"/>
            <wp:effectExtent l="0" t="0" r="635" b="13335"/>
            <wp:docPr id="6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6"/>
                    <pic:cNvPicPr>
                      <a:picLocks noChangeAspect="1"/>
                    </pic:cNvPicPr>
                  </pic:nvPicPr>
                  <pic:blipFill>
                    <a:blip r:embed="rId37"/>
                    <a:stretch>
                      <a:fillRect/>
                    </a:stretch>
                  </pic:blipFill>
                  <pic:spPr>
                    <a:xfrm>
                      <a:off x="0" y="0"/>
                      <a:ext cx="5272405" cy="1343025"/>
                    </a:xfrm>
                    <a:prstGeom prst="rect">
                      <a:avLst/>
                    </a:prstGeom>
                    <a:noFill/>
                    <a:ln>
                      <a:noFill/>
                    </a:ln>
                  </pic:spPr>
                </pic:pic>
              </a:graphicData>
            </a:graphic>
          </wp:inline>
        </w:drawing>
      </w:r>
    </w:p>
    <w:p w14:paraId="65061157">
      <w:pPr>
        <w:pStyle w:val="3"/>
        <w:rPr>
          <w:rFonts w:hint="default" w:ascii="Times New Roman" w:hAnsi="Times New Roman" w:cs="Times New Roman"/>
        </w:rPr>
      </w:pPr>
      <w:bookmarkStart w:id="76" w:name="_Toc165908488"/>
      <w:bookmarkStart w:id="77" w:name="_Toc140249136"/>
      <w:r>
        <w:rPr>
          <w:rFonts w:hint="default" w:ascii="Times New Roman" w:hAnsi="Times New Roman" w:cs="Times New Roman"/>
        </w:rPr>
        <w:t>图：删除数据标注任务</w:t>
      </w:r>
      <w:bookmarkEnd w:id="76"/>
      <w:bookmarkEnd w:id="77"/>
    </w:p>
    <w:p w14:paraId="57356D86">
      <w:pPr>
        <w:widowControl/>
        <w:kinsoku w:val="0"/>
        <w:autoSpaceDE w:val="0"/>
        <w:autoSpaceDN w:val="0"/>
        <w:adjustRightInd w:val="0"/>
        <w:snapToGrid w:val="0"/>
        <w:spacing w:before="166" w:beforeLines="50" w:after="166" w:afterLines="50"/>
        <w:ind w:firstLine="480"/>
        <w:jc w:val="center"/>
        <w:rPr>
          <w:rFonts w:hint="default" w:ascii="Times New Roman" w:hAnsi="Times New Roman" w:eastAsia="宋体" w:cs="Times New Roman"/>
        </w:rPr>
      </w:pPr>
    </w:p>
    <w:p w14:paraId="08C6193E">
      <w:pPr>
        <w:pStyle w:val="38"/>
        <w:numPr>
          <w:ilvl w:val="4"/>
          <w:numId w:val="1"/>
        </w:numPr>
        <w:ind w:left="992" w:leftChars="0" w:hanging="992" w:firstLineChars="0"/>
        <w:outlineLvl w:val="4"/>
        <w:rPr>
          <w:rFonts w:hint="default"/>
        </w:rPr>
      </w:pPr>
      <w:r>
        <w:rPr>
          <w:rFonts w:hint="default"/>
        </w:rPr>
        <w:t>标注任务修改</w:t>
      </w:r>
    </w:p>
    <w:p w14:paraId="10D4FC2C">
      <w:pPr>
        <w:ind w:firstLine="480"/>
        <w:rPr>
          <w:rFonts w:hint="default" w:ascii="Times New Roman" w:hAnsi="Times New Roman" w:cs="Times New Roman"/>
        </w:rPr>
      </w:pPr>
      <w:r>
        <w:rPr>
          <w:rFonts w:hint="default" w:ascii="Times New Roman" w:hAnsi="Times New Roman" w:cs="Times New Roman"/>
        </w:rPr>
        <w:t>支持对标注任务进行修改，在任务列表中点击列表操作中的“修改”，可以修改该数据标注任务并重新提交。在修改页面可对创建任务时填写的信息进行变更。</w:t>
      </w:r>
    </w:p>
    <w:p w14:paraId="0A93EE6C">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396105" cy="1095375"/>
            <wp:effectExtent l="0" t="0" r="8255" b="1905"/>
            <wp:docPr id="75"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09"/>
                    <pic:cNvPicPr>
                      <a:picLocks noChangeAspect="1"/>
                    </pic:cNvPicPr>
                  </pic:nvPicPr>
                  <pic:blipFill>
                    <a:blip r:embed="rId38"/>
                    <a:srcRect l="16722" t="25455"/>
                    <a:stretch>
                      <a:fillRect/>
                    </a:stretch>
                  </pic:blipFill>
                  <pic:spPr>
                    <a:xfrm>
                      <a:off x="0" y="0"/>
                      <a:ext cx="4396105" cy="1095375"/>
                    </a:xfrm>
                    <a:prstGeom prst="rect">
                      <a:avLst/>
                    </a:prstGeom>
                    <a:noFill/>
                    <a:ln>
                      <a:noFill/>
                    </a:ln>
                  </pic:spPr>
                </pic:pic>
              </a:graphicData>
            </a:graphic>
          </wp:inline>
        </w:drawing>
      </w:r>
    </w:p>
    <w:p w14:paraId="62A6EE59">
      <w:pPr>
        <w:pStyle w:val="3"/>
        <w:rPr>
          <w:rFonts w:hint="default" w:ascii="Times New Roman" w:hAnsi="Times New Roman" w:cs="Times New Roman"/>
        </w:rPr>
      </w:pPr>
      <w:bookmarkStart w:id="78" w:name="_Toc165908472"/>
      <w:bookmarkStart w:id="79" w:name="_Toc132385686"/>
      <w:bookmarkStart w:id="80" w:name="_Toc140249120"/>
      <w:r>
        <w:rPr>
          <w:rFonts w:hint="default" w:ascii="Times New Roman" w:hAnsi="Times New Roman" w:cs="Times New Roman"/>
        </w:rPr>
        <w:t>图：修改数据标注任务1</w:t>
      </w:r>
      <w:bookmarkEnd w:id="78"/>
      <w:bookmarkEnd w:id="79"/>
      <w:bookmarkEnd w:id="80"/>
    </w:p>
    <w:p w14:paraId="45E9820F">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400550" cy="1900555"/>
            <wp:effectExtent l="0" t="0" r="3810" b="4445"/>
            <wp:docPr id="66"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10"/>
                    <pic:cNvPicPr>
                      <a:picLocks noChangeAspect="1"/>
                    </pic:cNvPicPr>
                  </pic:nvPicPr>
                  <pic:blipFill>
                    <a:blip r:embed="rId39"/>
                    <a:srcRect l="16725" t="17256"/>
                    <a:stretch>
                      <a:fillRect/>
                    </a:stretch>
                  </pic:blipFill>
                  <pic:spPr>
                    <a:xfrm>
                      <a:off x="0" y="0"/>
                      <a:ext cx="4400550" cy="1900555"/>
                    </a:xfrm>
                    <a:prstGeom prst="rect">
                      <a:avLst/>
                    </a:prstGeom>
                    <a:noFill/>
                    <a:ln>
                      <a:noFill/>
                    </a:ln>
                  </pic:spPr>
                </pic:pic>
              </a:graphicData>
            </a:graphic>
          </wp:inline>
        </w:drawing>
      </w:r>
    </w:p>
    <w:p w14:paraId="3CFA6EBE">
      <w:pPr>
        <w:pStyle w:val="3"/>
        <w:rPr>
          <w:rFonts w:hint="default" w:ascii="Times New Roman" w:hAnsi="Times New Roman" w:cs="Times New Roman"/>
        </w:rPr>
      </w:pPr>
      <w:bookmarkStart w:id="81" w:name="_Toc140249121"/>
      <w:bookmarkStart w:id="82" w:name="_Toc165908473"/>
      <w:r>
        <w:rPr>
          <w:rFonts w:hint="default" w:ascii="Times New Roman" w:hAnsi="Times New Roman" w:cs="Times New Roman"/>
        </w:rPr>
        <w:t>图：修改数据标注任务2</w:t>
      </w:r>
      <w:bookmarkEnd w:id="81"/>
      <w:bookmarkEnd w:id="82"/>
    </w:p>
    <w:p w14:paraId="6D70A0D6">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410075" cy="1995805"/>
            <wp:effectExtent l="0" t="0" r="9525" b="635"/>
            <wp:docPr id="147"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311"/>
                    <pic:cNvPicPr>
                      <a:picLocks noChangeAspect="1"/>
                    </pic:cNvPicPr>
                  </pic:nvPicPr>
                  <pic:blipFill>
                    <a:blip r:embed="rId40"/>
                    <a:srcRect l="16364" t="16090"/>
                    <a:stretch>
                      <a:fillRect/>
                    </a:stretch>
                  </pic:blipFill>
                  <pic:spPr>
                    <a:xfrm>
                      <a:off x="0" y="0"/>
                      <a:ext cx="4410075" cy="1995805"/>
                    </a:xfrm>
                    <a:prstGeom prst="rect">
                      <a:avLst/>
                    </a:prstGeom>
                    <a:noFill/>
                    <a:ln>
                      <a:noFill/>
                    </a:ln>
                  </pic:spPr>
                </pic:pic>
              </a:graphicData>
            </a:graphic>
          </wp:inline>
        </w:drawing>
      </w:r>
    </w:p>
    <w:p w14:paraId="35FD85AA">
      <w:pPr>
        <w:pStyle w:val="3"/>
        <w:rPr>
          <w:rFonts w:hint="default" w:ascii="Times New Roman" w:hAnsi="Times New Roman" w:cs="Times New Roman"/>
        </w:rPr>
      </w:pPr>
      <w:bookmarkStart w:id="83" w:name="_Toc140249122"/>
      <w:bookmarkStart w:id="84" w:name="_Toc165908474"/>
      <w:r>
        <w:rPr>
          <w:rFonts w:hint="default" w:ascii="Times New Roman" w:hAnsi="Times New Roman" w:cs="Times New Roman"/>
        </w:rPr>
        <w:t>图：修改数据标注任务3</w:t>
      </w:r>
      <w:bookmarkEnd w:id="83"/>
      <w:bookmarkEnd w:id="84"/>
    </w:p>
    <w:p w14:paraId="54A4C222">
      <w:pPr>
        <w:pStyle w:val="38"/>
        <w:numPr>
          <w:ilvl w:val="5"/>
          <w:numId w:val="1"/>
        </w:numPr>
        <w:ind w:left="1134" w:leftChars="0" w:hanging="1134" w:firstLineChars="0"/>
        <w:outlineLvl w:val="4"/>
        <w:rPr>
          <w:rFonts w:hint="default"/>
        </w:rPr>
      </w:pPr>
      <w:r>
        <w:rPr>
          <w:rFonts w:hint="default"/>
        </w:rPr>
        <w:t>标注任务详情查看</w:t>
      </w:r>
    </w:p>
    <w:p w14:paraId="7E672E58">
      <w:pPr>
        <w:ind w:firstLine="480"/>
        <w:rPr>
          <w:rFonts w:hint="default" w:ascii="Times New Roman" w:hAnsi="Times New Roman" w:cs="Times New Roman"/>
        </w:rPr>
      </w:pPr>
      <w:r>
        <w:rPr>
          <w:rFonts w:hint="default" w:ascii="Times New Roman" w:hAnsi="Times New Roman" w:cs="Times New Roman"/>
        </w:rPr>
        <w:t>支持查看和展示标注任务的详细信息，在任务列表中点击操作中的“查看”，跳转到数据标注任务详情页面，可以查看任务的配置信息、作业信息、数据信息。</w:t>
      </w:r>
    </w:p>
    <w:p w14:paraId="5AF8EC45">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2405" cy="2619375"/>
            <wp:effectExtent l="0" t="0" r="635" b="1905"/>
            <wp:docPr id="7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2"/>
                    <pic:cNvPicPr>
                      <a:picLocks noChangeAspect="1"/>
                    </pic:cNvPicPr>
                  </pic:nvPicPr>
                  <pic:blipFill>
                    <a:blip r:embed="rId41"/>
                    <a:stretch>
                      <a:fillRect/>
                    </a:stretch>
                  </pic:blipFill>
                  <pic:spPr>
                    <a:xfrm>
                      <a:off x="0" y="0"/>
                      <a:ext cx="5272405" cy="2619375"/>
                    </a:xfrm>
                    <a:prstGeom prst="rect">
                      <a:avLst/>
                    </a:prstGeom>
                    <a:noFill/>
                    <a:ln>
                      <a:noFill/>
                    </a:ln>
                  </pic:spPr>
                </pic:pic>
              </a:graphicData>
            </a:graphic>
          </wp:inline>
        </w:drawing>
      </w:r>
    </w:p>
    <w:p w14:paraId="240DEDCB">
      <w:pPr>
        <w:pStyle w:val="3"/>
        <w:rPr>
          <w:rFonts w:hint="default" w:ascii="Times New Roman" w:hAnsi="Times New Roman" w:cs="Times New Roman"/>
        </w:rPr>
      </w:pPr>
      <w:bookmarkStart w:id="85" w:name="_Toc165908475"/>
      <w:bookmarkStart w:id="86" w:name="_Toc140249123"/>
      <w:r>
        <w:rPr>
          <w:rFonts w:hint="default" w:ascii="Times New Roman" w:hAnsi="Times New Roman" w:cs="Times New Roman"/>
        </w:rPr>
        <w:t>图：查看数据标注任务详情</w:t>
      </w:r>
      <w:bookmarkEnd w:id="85"/>
      <w:bookmarkEnd w:id="86"/>
    </w:p>
    <w:p w14:paraId="404CEBEE">
      <w:pPr>
        <w:ind w:firstLine="480"/>
        <w:rPr>
          <w:rFonts w:hint="default" w:ascii="Times New Roman" w:hAnsi="Times New Roman" w:cs="Times New Roman"/>
        </w:rPr>
      </w:pPr>
      <w:r>
        <w:rPr>
          <w:rFonts w:hint="default" w:ascii="Times New Roman" w:hAnsi="Times New Roman" w:cs="Times New Roman"/>
        </w:rPr>
        <w:t>点击操作中的“标注配置变更”按钮，可以修改标注配置。</w:t>
      </w:r>
    </w:p>
    <w:p w14:paraId="084696E0">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319905" cy="2038350"/>
            <wp:effectExtent l="0" t="0" r="8255" b="3810"/>
            <wp:docPr id="136"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55"/>
                    <pic:cNvPicPr>
                      <a:picLocks noChangeAspect="1"/>
                    </pic:cNvPicPr>
                  </pic:nvPicPr>
                  <pic:blipFill>
                    <a:blip r:embed="rId42"/>
                    <a:srcRect l="15640" r="2551"/>
                    <a:stretch>
                      <a:fillRect/>
                    </a:stretch>
                  </pic:blipFill>
                  <pic:spPr>
                    <a:xfrm>
                      <a:off x="0" y="0"/>
                      <a:ext cx="4319905" cy="2038350"/>
                    </a:xfrm>
                    <a:prstGeom prst="rect">
                      <a:avLst/>
                    </a:prstGeom>
                    <a:noFill/>
                    <a:ln>
                      <a:noFill/>
                    </a:ln>
                  </pic:spPr>
                </pic:pic>
              </a:graphicData>
            </a:graphic>
          </wp:inline>
        </w:drawing>
      </w:r>
    </w:p>
    <w:p w14:paraId="51752F2D">
      <w:pPr>
        <w:pStyle w:val="3"/>
        <w:rPr>
          <w:rFonts w:hint="default" w:ascii="Times New Roman" w:hAnsi="Times New Roman" w:cs="Times New Roman"/>
        </w:rPr>
      </w:pPr>
      <w:bookmarkStart w:id="87" w:name="_Toc165908476"/>
      <w:bookmarkStart w:id="88" w:name="_Toc140249124"/>
      <w:r>
        <w:rPr>
          <w:rFonts w:hint="default" w:ascii="Times New Roman" w:hAnsi="Times New Roman" w:cs="Times New Roman"/>
        </w:rPr>
        <w:t>图：修改标注配置</w:t>
      </w:r>
      <w:bookmarkEnd w:id="87"/>
      <w:bookmarkEnd w:id="88"/>
    </w:p>
    <w:p w14:paraId="2735BAE9">
      <w:pPr>
        <w:ind w:firstLine="480"/>
        <w:rPr>
          <w:rFonts w:hint="default" w:ascii="Times New Roman" w:hAnsi="Times New Roman" w:cs="Times New Roman"/>
        </w:rPr>
      </w:pPr>
      <w:r>
        <w:rPr>
          <w:rFonts w:hint="default" w:ascii="Times New Roman" w:hAnsi="Times New Roman" w:cs="Times New Roman"/>
        </w:rPr>
        <w:t>点击“作业信息”Tab，可以查看标注作业、智能标注作业的进度、状态等。</w:t>
      </w:r>
    </w:p>
    <w:p w14:paraId="280330F2">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029075" cy="1543050"/>
            <wp:effectExtent l="0" t="0" r="9525" b="11430"/>
            <wp:docPr id="144"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12"/>
                    <pic:cNvPicPr>
                      <a:picLocks noChangeAspect="1"/>
                    </pic:cNvPicPr>
                  </pic:nvPicPr>
                  <pic:blipFill>
                    <a:blip r:embed="rId43"/>
                    <a:srcRect l="16684" t="16805"/>
                    <a:stretch>
                      <a:fillRect/>
                    </a:stretch>
                  </pic:blipFill>
                  <pic:spPr>
                    <a:xfrm>
                      <a:off x="0" y="0"/>
                      <a:ext cx="4029075" cy="1543050"/>
                    </a:xfrm>
                    <a:prstGeom prst="rect">
                      <a:avLst/>
                    </a:prstGeom>
                    <a:noFill/>
                    <a:ln>
                      <a:noFill/>
                    </a:ln>
                  </pic:spPr>
                </pic:pic>
              </a:graphicData>
            </a:graphic>
          </wp:inline>
        </w:drawing>
      </w:r>
    </w:p>
    <w:p w14:paraId="4A9C1CB1">
      <w:pPr>
        <w:pStyle w:val="3"/>
        <w:rPr>
          <w:rFonts w:hint="default" w:ascii="Times New Roman" w:hAnsi="Times New Roman" w:cs="Times New Roman"/>
        </w:rPr>
      </w:pPr>
      <w:bookmarkStart w:id="89" w:name="_Toc140249125"/>
      <w:bookmarkStart w:id="90" w:name="_Toc165908477"/>
      <w:r>
        <w:rPr>
          <w:rFonts w:hint="default" w:ascii="Times New Roman" w:hAnsi="Times New Roman" w:cs="Times New Roman"/>
        </w:rPr>
        <w:t>图：查看标注任务作业信息</w:t>
      </w:r>
      <w:bookmarkEnd w:id="89"/>
      <w:bookmarkEnd w:id="90"/>
    </w:p>
    <w:p w14:paraId="1FD81889">
      <w:pPr>
        <w:ind w:firstLine="480"/>
        <w:rPr>
          <w:rFonts w:hint="default" w:ascii="Times New Roman" w:hAnsi="Times New Roman" w:cs="Times New Roman"/>
        </w:rPr>
      </w:pPr>
      <w:r>
        <w:rPr>
          <w:rFonts w:hint="default" w:ascii="Times New Roman" w:hAnsi="Times New Roman" w:cs="Times New Roman"/>
        </w:rPr>
        <w:t>点击作业信息列表中操作“查看”，可以查看标注作业的标注信息。</w:t>
      </w:r>
    </w:p>
    <w:p w14:paraId="1BCBD40B">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81930" cy="2481580"/>
            <wp:effectExtent l="0" t="0" r="6350" b="2540"/>
            <wp:docPr id="137"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56"/>
                    <pic:cNvPicPr>
                      <a:picLocks noChangeAspect="1"/>
                    </pic:cNvPicPr>
                  </pic:nvPicPr>
                  <pic:blipFill>
                    <a:blip r:embed="rId44"/>
                    <a:stretch>
                      <a:fillRect/>
                    </a:stretch>
                  </pic:blipFill>
                  <pic:spPr>
                    <a:xfrm>
                      <a:off x="0" y="0"/>
                      <a:ext cx="5281930" cy="2481580"/>
                    </a:xfrm>
                    <a:prstGeom prst="rect">
                      <a:avLst/>
                    </a:prstGeom>
                    <a:noFill/>
                    <a:ln>
                      <a:noFill/>
                    </a:ln>
                  </pic:spPr>
                </pic:pic>
              </a:graphicData>
            </a:graphic>
          </wp:inline>
        </w:drawing>
      </w:r>
    </w:p>
    <w:p w14:paraId="10C691E1">
      <w:pPr>
        <w:pStyle w:val="3"/>
        <w:rPr>
          <w:rFonts w:hint="default" w:ascii="Times New Roman" w:hAnsi="Times New Roman" w:cs="Times New Roman"/>
        </w:rPr>
      </w:pPr>
      <w:bookmarkStart w:id="91" w:name="_Toc140249126"/>
      <w:bookmarkStart w:id="92" w:name="_Toc165908478"/>
      <w:r>
        <w:rPr>
          <w:rFonts w:hint="default" w:ascii="Times New Roman" w:hAnsi="Times New Roman" w:cs="Times New Roman"/>
        </w:rPr>
        <w:t>图：查看标注作业的标注信息</w:t>
      </w:r>
      <w:bookmarkEnd w:id="91"/>
      <w:bookmarkEnd w:id="92"/>
    </w:p>
    <w:p w14:paraId="4EEC903E">
      <w:pPr>
        <w:ind w:firstLine="480"/>
        <w:rPr>
          <w:rFonts w:hint="default" w:ascii="Times New Roman" w:hAnsi="Times New Roman" w:cs="Times New Roman"/>
        </w:rPr>
      </w:pPr>
      <w:r>
        <w:rPr>
          <w:rFonts w:hint="default" w:ascii="Times New Roman" w:hAnsi="Times New Roman" w:cs="Times New Roman"/>
        </w:rPr>
        <w:t>点击“数据信息”Tab，可以查看数据ID、文本、标注人员、标注状态等。</w:t>
      </w:r>
    </w:p>
    <w:p w14:paraId="5857FD3A">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81930" cy="1495425"/>
            <wp:effectExtent l="0" t="0" r="6350" b="13335"/>
            <wp:docPr id="65"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57"/>
                    <pic:cNvPicPr>
                      <a:picLocks noChangeAspect="1"/>
                    </pic:cNvPicPr>
                  </pic:nvPicPr>
                  <pic:blipFill>
                    <a:blip r:embed="rId45"/>
                    <a:stretch>
                      <a:fillRect/>
                    </a:stretch>
                  </pic:blipFill>
                  <pic:spPr>
                    <a:xfrm>
                      <a:off x="0" y="0"/>
                      <a:ext cx="5281930" cy="1495425"/>
                    </a:xfrm>
                    <a:prstGeom prst="rect">
                      <a:avLst/>
                    </a:prstGeom>
                    <a:noFill/>
                    <a:ln>
                      <a:noFill/>
                    </a:ln>
                  </pic:spPr>
                </pic:pic>
              </a:graphicData>
            </a:graphic>
          </wp:inline>
        </w:drawing>
      </w:r>
    </w:p>
    <w:p w14:paraId="78022F0E">
      <w:pPr>
        <w:pStyle w:val="3"/>
        <w:rPr>
          <w:rFonts w:hint="default" w:ascii="Times New Roman" w:hAnsi="Times New Roman" w:cs="Times New Roman"/>
        </w:rPr>
      </w:pPr>
      <w:bookmarkStart w:id="93" w:name="_Toc140249127"/>
      <w:bookmarkStart w:id="94" w:name="_Toc165908479"/>
      <w:r>
        <w:rPr>
          <w:rFonts w:hint="default" w:ascii="Times New Roman" w:hAnsi="Times New Roman" w:cs="Times New Roman"/>
        </w:rPr>
        <w:t>图：查看标注任务数据信息</w:t>
      </w:r>
      <w:bookmarkEnd w:id="93"/>
      <w:bookmarkEnd w:id="94"/>
    </w:p>
    <w:p w14:paraId="3547CB76">
      <w:pPr>
        <w:ind w:firstLine="480"/>
        <w:rPr>
          <w:rFonts w:hint="default" w:ascii="Times New Roman" w:hAnsi="Times New Roman" w:eastAsia="宋体" w:cs="Times New Roman"/>
        </w:rPr>
      </w:pPr>
      <w:r>
        <w:rPr>
          <w:rFonts w:hint="default" w:ascii="Times New Roman" w:hAnsi="Times New Roman" w:cs="Times New Roman"/>
        </w:rPr>
        <w:t>数据信息列表中可以根据条件过滤筛选，可选择数据信息状态进行搜索。</w:t>
      </w:r>
    </w:p>
    <w:p w14:paraId="041C207B">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34305" cy="1395730"/>
            <wp:effectExtent l="0" t="0" r="8255" b="6350"/>
            <wp:docPr id="138"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313"/>
                    <pic:cNvPicPr>
                      <a:picLocks noChangeAspect="1"/>
                    </pic:cNvPicPr>
                  </pic:nvPicPr>
                  <pic:blipFill>
                    <a:blip r:embed="rId46"/>
                    <a:srcRect l="-2" r="928"/>
                    <a:stretch>
                      <a:fillRect/>
                    </a:stretch>
                  </pic:blipFill>
                  <pic:spPr>
                    <a:xfrm>
                      <a:off x="0" y="0"/>
                      <a:ext cx="5234305" cy="1395730"/>
                    </a:xfrm>
                    <a:prstGeom prst="rect">
                      <a:avLst/>
                    </a:prstGeom>
                    <a:noFill/>
                    <a:ln>
                      <a:noFill/>
                    </a:ln>
                  </pic:spPr>
                </pic:pic>
              </a:graphicData>
            </a:graphic>
          </wp:inline>
        </w:drawing>
      </w:r>
    </w:p>
    <w:p w14:paraId="36F1FE92">
      <w:pPr>
        <w:pStyle w:val="3"/>
        <w:rPr>
          <w:rFonts w:hint="default" w:ascii="Times New Roman" w:hAnsi="Times New Roman" w:cs="Times New Roman"/>
        </w:rPr>
      </w:pPr>
      <w:bookmarkStart w:id="95" w:name="_Toc165908480"/>
      <w:bookmarkStart w:id="96" w:name="_Toc140249128"/>
      <w:r>
        <w:rPr>
          <w:rFonts w:hint="default" w:ascii="Times New Roman" w:hAnsi="Times New Roman" w:cs="Times New Roman"/>
        </w:rPr>
        <w:t>图：查询标注任务数据信息</w:t>
      </w:r>
      <w:bookmarkEnd w:id="95"/>
      <w:bookmarkEnd w:id="96"/>
    </w:p>
    <w:p w14:paraId="7C3759E0">
      <w:pPr>
        <w:ind w:firstLine="480"/>
        <w:rPr>
          <w:rFonts w:hint="default" w:ascii="Times New Roman" w:hAnsi="Times New Roman" w:cs="Times New Roman"/>
        </w:rPr>
      </w:pPr>
      <w:r>
        <w:rPr>
          <w:rFonts w:hint="default" w:ascii="Times New Roman" w:hAnsi="Times New Roman" w:cs="Times New Roman"/>
        </w:rPr>
        <w:t>点击数据信息列表操作“历史状态”，可以查看该数据的历史标注状态。</w:t>
      </w:r>
    </w:p>
    <w:p w14:paraId="7A1AC301">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6850" cy="1776730"/>
            <wp:effectExtent l="0" t="0" r="11430" b="6350"/>
            <wp:docPr id="7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8"/>
                    <pic:cNvPicPr>
                      <a:picLocks noChangeAspect="1"/>
                    </pic:cNvPicPr>
                  </pic:nvPicPr>
                  <pic:blipFill>
                    <a:blip r:embed="rId47"/>
                    <a:stretch>
                      <a:fillRect/>
                    </a:stretch>
                  </pic:blipFill>
                  <pic:spPr>
                    <a:xfrm>
                      <a:off x="0" y="0"/>
                      <a:ext cx="5276850" cy="1776730"/>
                    </a:xfrm>
                    <a:prstGeom prst="rect">
                      <a:avLst/>
                    </a:prstGeom>
                    <a:noFill/>
                    <a:ln>
                      <a:noFill/>
                    </a:ln>
                  </pic:spPr>
                </pic:pic>
              </a:graphicData>
            </a:graphic>
          </wp:inline>
        </w:drawing>
      </w:r>
    </w:p>
    <w:p w14:paraId="4ED5FC62">
      <w:pPr>
        <w:pStyle w:val="3"/>
        <w:rPr>
          <w:rFonts w:hint="default" w:ascii="Times New Roman" w:hAnsi="Times New Roman" w:cs="Times New Roman"/>
        </w:rPr>
      </w:pPr>
      <w:bookmarkStart w:id="97" w:name="_Toc140249129"/>
      <w:bookmarkStart w:id="98" w:name="_Toc165908481"/>
      <w:r>
        <w:rPr>
          <w:rFonts w:hint="default" w:ascii="Times New Roman" w:hAnsi="Times New Roman" w:cs="Times New Roman"/>
        </w:rPr>
        <w:t>图：标注任务数据信息的历史状态</w:t>
      </w:r>
      <w:bookmarkEnd w:id="97"/>
      <w:bookmarkEnd w:id="98"/>
    </w:p>
    <w:p w14:paraId="7011D787">
      <w:pPr>
        <w:ind w:firstLine="480"/>
        <w:rPr>
          <w:rFonts w:hint="default" w:ascii="Times New Roman" w:hAnsi="Times New Roman" w:cs="Times New Roman"/>
        </w:rPr>
      </w:pPr>
      <w:r>
        <w:rPr>
          <w:rFonts w:hint="default" w:ascii="Times New Roman" w:hAnsi="Times New Roman" w:cs="Times New Roman"/>
        </w:rPr>
        <w:t>支持标注任务的自定义创建，包括设置标注类型、标注内容，并将任务分配给指定的标注团队或个人。</w:t>
      </w:r>
    </w:p>
    <w:p w14:paraId="548961A2">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767580" cy="1304925"/>
            <wp:effectExtent l="0" t="0" r="2540" b="5715"/>
            <wp:docPr id="76" name="图片 59" descr="图表&#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9" descr="图表&#10;&#10;低可信度描述已自动生成"/>
                    <pic:cNvPicPr>
                      <a:picLocks noChangeAspect="1"/>
                    </pic:cNvPicPr>
                  </pic:nvPicPr>
                  <pic:blipFill>
                    <a:blip r:embed="rId48"/>
                    <a:stretch>
                      <a:fillRect/>
                    </a:stretch>
                  </pic:blipFill>
                  <pic:spPr>
                    <a:xfrm>
                      <a:off x="0" y="0"/>
                      <a:ext cx="4767580" cy="1304925"/>
                    </a:xfrm>
                    <a:prstGeom prst="rect">
                      <a:avLst/>
                    </a:prstGeom>
                    <a:noFill/>
                    <a:ln>
                      <a:noFill/>
                    </a:ln>
                  </pic:spPr>
                </pic:pic>
              </a:graphicData>
            </a:graphic>
          </wp:inline>
        </w:drawing>
      </w:r>
    </w:p>
    <w:p w14:paraId="6FCECA1B">
      <w:pPr>
        <w:pStyle w:val="3"/>
        <w:rPr>
          <w:rFonts w:hint="default" w:ascii="Times New Roman" w:hAnsi="Times New Roman" w:cs="Times New Roman"/>
        </w:rPr>
      </w:pPr>
      <w:r>
        <w:rPr>
          <w:rFonts w:hint="default" w:ascii="Times New Roman" w:hAnsi="Times New Roman" w:cs="Times New Roman"/>
        </w:rPr>
        <w:t>图：标注任务配置界面</w:t>
      </w:r>
    </w:p>
    <w:p w14:paraId="79EB7851">
      <w:pPr>
        <w:ind w:firstLine="480"/>
        <w:rPr>
          <w:rFonts w:hint="default" w:ascii="Times New Roman" w:hAnsi="Times New Roman" w:cs="Times New Roman"/>
        </w:rPr>
      </w:pPr>
      <w:r>
        <w:rPr>
          <w:rFonts w:hint="default" w:ascii="Times New Roman" w:hAnsi="Times New Roman" w:cs="Times New Roman"/>
        </w:rPr>
        <w:t>支持对创建后的标注任务进行管理，通过数据标注任务列表进行统一展示，支持按任务名称进行标注任务的查询，展示标注任务基本信息和标注状态、标注进度，支持删除标注任务，点击标注任务名称可以查看任务的详情和标注完成情况。用户通过任务管理页面，点击标注，进入标注工具提供的标注作业界面，可以直接使用标签进行标注操作。</w:t>
      </w:r>
    </w:p>
    <w:p w14:paraId="0F923ECD">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6850" cy="2167255"/>
            <wp:effectExtent l="0" t="0" r="11430" b="12065"/>
            <wp:docPr id="145" name="图片 60" descr="电脑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60" descr="电脑屏幕截图&#10;&#10;描述已自动生成"/>
                    <pic:cNvPicPr>
                      <a:picLocks noChangeAspect="1"/>
                    </pic:cNvPicPr>
                  </pic:nvPicPr>
                  <pic:blipFill>
                    <a:blip r:embed="rId49"/>
                    <a:stretch>
                      <a:fillRect/>
                    </a:stretch>
                  </pic:blipFill>
                  <pic:spPr>
                    <a:xfrm>
                      <a:off x="0" y="0"/>
                      <a:ext cx="5276850" cy="2167255"/>
                    </a:xfrm>
                    <a:prstGeom prst="rect">
                      <a:avLst/>
                    </a:prstGeom>
                    <a:noFill/>
                    <a:ln>
                      <a:noFill/>
                    </a:ln>
                  </pic:spPr>
                </pic:pic>
              </a:graphicData>
            </a:graphic>
          </wp:inline>
        </w:drawing>
      </w:r>
    </w:p>
    <w:p w14:paraId="11C9B582">
      <w:pPr>
        <w:pStyle w:val="3"/>
        <w:rPr>
          <w:rFonts w:hint="default" w:ascii="Times New Roman" w:hAnsi="Times New Roman" w:cs="Times New Roman"/>
        </w:rPr>
      </w:pPr>
      <w:r>
        <w:rPr>
          <w:rFonts w:hint="default" w:ascii="Times New Roman" w:hAnsi="Times New Roman" w:cs="Times New Roman"/>
        </w:rPr>
        <w:t>图：标注任务管理列表</w:t>
      </w:r>
    </w:p>
    <w:p w14:paraId="0826496C">
      <w:pPr>
        <w:pStyle w:val="38"/>
        <w:numPr>
          <w:ilvl w:val="6"/>
          <w:numId w:val="1"/>
        </w:numPr>
        <w:ind w:left="1276" w:leftChars="0" w:hanging="1276" w:firstLineChars="0"/>
        <w:outlineLvl w:val="5"/>
        <w:rPr>
          <w:rFonts w:hint="default"/>
        </w:rPr>
      </w:pPr>
      <w:r>
        <w:rPr>
          <w:rFonts w:hint="default"/>
        </w:rPr>
        <w:t>人工在线标注</w:t>
      </w:r>
    </w:p>
    <w:p w14:paraId="73E79464">
      <w:pPr>
        <w:pStyle w:val="38"/>
        <w:numPr>
          <w:ilvl w:val="7"/>
          <w:numId w:val="1"/>
        </w:numPr>
        <w:ind w:left="1418" w:leftChars="0" w:hanging="1418" w:firstLineChars="0"/>
        <w:outlineLvl w:val="6"/>
        <w:rPr>
          <w:rFonts w:hint="default"/>
        </w:rPr>
      </w:pPr>
      <w:r>
        <w:rPr>
          <w:rFonts w:hint="default"/>
        </w:rPr>
        <w:t>标注预置模板</w:t>
      </w:r>
    </w:p>
    <w:p w14:paraId="70755BFE">
      <w:pPr>
        <w:ind w:firstLine="480"/>
        <w:rPr>
          <w:rFonts w:hint="default" w:ascii="Times New Roman" w:hAnsi="Times New Roman" w:cs="Times New Roman"/>
        </w:rPr>
      </w:pPr>
      <w:r>
        <w:rPr>
          <w:rFonts w:hint="default" w:ascii="Times New Roman" w:hAnsi="Times New Roman" w:cs="Times New Roman"/>
        </w:rPr>
        <w:t>1）图片类标注模板：</w:t>
      </w:r>
    </w:p>
    <w:p w14:paraId="28728B32">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6850" cy="2362200"/>
            <wp:effectExtent l="0" t="0" r="11430" b="0"/>
            <wp:docPr id="77" name="图片 6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61" descr="图形用户界面, 网站&#10;&#10;描述已自动生成"/>
                    <pic:cNvPicPr>
                      <a:picLocks noChangeAspect="1"/>
                    </pic:cNvPicPr>
                  </pic:nvPicPr>
                  <pic:blipFill>
                    <a:blip r:embed="rId50"/>
                    <a:stretch>
                      <a:fillRect/>
                    </a:stretch>
                  </pic:blipFill>
                  <pic:spPr>
                    <a:xfrm>
                      <a:off x="0" y="0"/>
                      <a:ext cx="5276850" cy="2362200"/>
                    </a:xfrm>
                    <a:prstGeom prst="rect">
                      <a:avLst/>
                    </a:prstGeom>
                    <a:noFill/>
                    <a:ln>
                      <a:noFill/>
                    </a:ln>
                  </pic:spPr>
                </pic:pic>
              </a:graphicData>
            </a:graphic>
          </wp:inline>
        </w:drawing>
      </w:r>
    </w:p>
    <w:p w14:paraId="3B8E376C">
      <w:pPr>
        <w:pStyle w:val="3"/>
        <w:rPr>
          <w:rFonts w:hint="default" w:ascii="Times New Roman" w:hAnsi="Times New Roman" w:cs="Times New Roman"/>
        </w:rPr>
      </w:pPr>
      <w:r>
        <w:rPr>
          <w:rFonts w:hint="default" w:ascii="Times New Roman" w:hAnsi="Times New Roman" w:cs="Times New Roman"/>
        </w:rPr>
        <w:t>图：图片类标注模板</w:t>
      </w:r>
    </w:p>
    <w:p w14:paraId="47E8B5C9">
      <w:pPr>
        <w:ind w:firstLine="480"/>
        <w:rPr>
          <w:rFonts w:hint="default" w:ascii="Times New Roman" w:hAnsi="Times New Roman" w:cs="Times New Roman"/>
        </w:rPr>
      </w:pPr>
      <w:r>
        <w:rPr>
          <w:rFonts w:hint="default" w:ascii="Times New Roman" w:hAnsi="Times New Roman" w:cs="Times New Roman"/>
        </w:rPr>
        <w:t>边界框物体检测：采用最新的目标检测算法（如YOLOv5、Faster R-CNN等），对图片中的物体进行自动识别并绘制边界框。支持多目标检测，同时标注多个物体，提高标注效率。</w:t>
      </w:r>
    </w:p>
    <w:p w14:paraId="1DBCB5AE">
      <w:pPr>
        <w:ind w:firstLine="480"/>
        <w:rPr>
          <w:rFonts w:hint="default" w:ascii="Times New Roman" w:hAnsi="Times New Roman" w:cs="Times New Roman"/>
        </w:rPr>
      </w:pPr>
      <w:r>
        <w:rPr>
          <w:rFonts w:hint="default" w:ascii="Times New Roman" w:hAnsi="Times New Roman" w:cs="Times New Roman"/>
        </w:rPr>
        <w:t>掩膜图像分割：应用先进的分割算法（如Mask R-CNN、DeepLab等），对图片中的物体进行像素级别的分割，生成精确的掩膜。支持复杂背景下的物体分割，提高分割的准确性。</w:t>
      </w:r>
    </w:p>
    <w:p w14:paraId="09978187">
      <w:pPr>
        <w:ind w:firstLine="480"/>
        <w:rPr>
          <w:rFonts w:hint="default" w:ascii="Times New Roman" w:hAnsi="Times New Roman" w:cs="Times New Roman"/>
        </w:rPr>
      </w:pPr>
      <w:r>
        <w:rPr>
          <w:rFonts w:hint="default" w:ascii="Times New Roman" w:hAnsi="Times New Roman" w:cs="Times New Roman"/>
        </w:rPr>
        <w:t>视觉问答：结合图像识别与NLP技术，实现图片内容的问答式标注。用户可以自定义问题，系统根据图片内容给出答案，增强标注的交互性。</w:t>
      </w:r>
    </w:p>
    <w:p w14:paraId="54C40663">
      <w:pPr>
        <w:ind w:firstLine="480"/>
        <w:rPr>
          <w:rFonts w:hint="default" w:ascii="Times New Roman" w:hAnsi="Times New Roman" w:cs="Times New Roman"/>
        </w:rPr>
      </w:pPr>
      <w:r>
        <w:rPr>
          <w:rFonts w:hint="default" w:ascii="Times New Roman" w:hAnsi="Times New Roman" w:cs="Times New Roman"/>
        </w:rPr>
        <w:t>图像分类：利用深度学习模型对图片进行自动分类，支持用户自定义分类标签。提供分类结果的统计与分析功能，帮助用户了解图片数据的分布情况。</w:t>
      </w:r>
    </w:p>
    <w:p w14:paraId="51278A45">
      <w:pPr>
        <w:ind w:firstLine="480"/>
        <w:rPr>
          <w:rFonts w:hint="default" w:ascii="Times New Roman" w:hAnsi="Times New Roman" w:cs="Times New Roman"/>
        </w:rPr>
      </w:pPr>
      <w:r>
        <w:rPr>
          <w:rFonts w:hint="default" w:ascii="Times New Roman" w:hAnsi="Times New Roman" w:cs="Times New Roman"/>
        </w:rPr>
        <w:t>多边形图像分割：提供多边形标注工具，支持用户手动绘制多边形进行图像分割。同时，利用算法辅助生成多边形，提高分割的效率和准确性。</w:t>
      </w:r>
    </w:p>
    <w:p w14:paraId="3102E7CC">
      <w:pPr>
        <w:ind w:firstLine="480"/>
        <w:rPr>
          <w:rFonts w:hint="default" w:ascii="Times New Roman" w:hAnsi="Times New Roman" w:cs="Times New Roman"/>
        </w:rPr>
      </w:pPr>
      <w:r>
        <w:rPr>
          <w:rFonts w:hint="default" w:ascii="Times New Roman" w:hAnsi="Times New Roman" w:cs="Times New Roman"/>
        </w:rPr>
        <w:t>关键点标注：对图片中的关键部位进行标注，如人脸的五官、人体的关节等。提供灵活的关键点设置功能，用户可以根据需求自定义关键点类型和数量。</w:t>
      </w:r>
    </w:p>
    <w:p w14:paraId="0136B050">
      <w:pPr>
        <w:ind w:firstLine="480"/>
        <w:rPr>
          <w:rFonts w:hint="default" w:ascii="Times New Roman" w:hAnsi="Times New Roman" w:cs="Times New Roman"/>
        </w:rPr>
      </w:pPr>
      <w:r>
        <w:rPr>
          <w:rFonts w:hint="default" w:ascii="Times New Roman" w:hAnsi="Times New Roman" w:cs="Times New Roman"/>
        </w:rPr>
        <w:t>2）文本标注模板</w:t>
      </w:r>
    </w:p>
    <w:p w14:paraId="33899907">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6850" cy="2076450"/>
            <wp:effectExtent l="0" t="0" r="11430" b="11430"/>
            <wp:docPr id="139" name="图片 62"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2" descr="图形用户界面, 应用程序, Word&#10;&#10;描述已自动生成"/>
                    <pic:cNvPicPr>
                      <a:picLocks noChangeAspect="1"/>
                    </pic:cNvPicPr>
                  </pic:nvPicPr>
                  <pic:blipFill>
                    <a:blip r:embed="rId51"/>
                    <a:stretch>
                      <a:fillRect/>
                    </a:stretch>
                  </pic:blipFill>
                  <pic:spPr>
                    <a:xfrm>
                      <a:off x="0" y="0"/>
                      <a:ext cx="5276850" cy="2076450"/>
                    </a:xfrm>
                    <a:prstGeom prst="rect">
                      <a:avLst/>
                    </a:prstGeom>
                    <a:noFill/>
                    <a:ln>
                      <a:noFill/>
                    </a:ln>
                  </pic:spPr>
                </pic:pic>
              </a:graphicData>
            </a:graphic>
          </wp:inline>
        </w:drawing>
      </w:r>
    </w:p>
    <w:p w14:paraId="2E4E2D6D">
      <w:pPr>
        <w:pStyle w:val="3"/>
        <w:rPr>
          <w:rFonts w:hint="default" w:ascii="Times New Roman" w:hAnsi="Times New Roman" w:cs="Times New Roman"/>
        </w:rPr>
      </w:pPr>
      <w:r>
        <w:rPr>
          <w:rFonts w:hint="default" w:ascii="Times New Roman" w:hAnsi="Times New Roman" w:cs="Times New Roman"/>
        </w:rPr>
        <w:t>图：文本标注模板</w:t>
      </w:r>
    </w:p>
    <w:p w14:paraId="41EDAD31">
      <w:pPr>
        <w:ind w:firstLine="480"/>
        <w:rPr>
          <w:rFonts w:hint="default" w:ascii="Times New Roman" w:hAnsi="Times New Roman" w:cs="Times New Roman"/>
        </w:rPr>
      </w:pPr>
      <w:r>
        <w:rPr>
          <w:rFonts w:hint="default" w:ascii="Times New Roman" w:hAnsi="Times New Roman" w:cs="Times New Roman"/>
        </w:rPr>
        <w:t>机器翻译：在机器翻译的标注过程中，需要为源语言文本提供对应的目标语言翻译。</w:t>
      </w:r>
    </w:p>
    <w:p w14:paraId="3E382EE1">
      <w:pPr>
        <w:ind w:firstLine="480"/>
        <w:rPr>
          <w:rFonts w:hint="default" w:ascii="Times New Roman" w:hAnsi="Times New Roman" w:cs="Times New Roman"/>
        </w:rPr>
      </w:pPr>
      <w:r>
        <w:rPr>
          <w:rFonts w:hint="default" w:ascii="Times New Roman" w:hAnsi="Times New Roman" w:cs="Times New Roman"/>
        </w:rPr>
        <w:t>命名实体：命名实体识别（NER）是指识别文本中具有特定意义的实体，如人名、地名、机构名、时间、日期等。在标注中，需要为文本中的每个命名实体分配一个预定义的类别标签，如“人名”、“地名”等。</w:t>
      </w:r>
    </w:p>
    <w:p w14:paraId="6C91EB55">
      <w:pPr>
        <w:ind w:firstLine="480"/>
        <w:rPr>
          <w:rFonts w:hint="default" w:ascii="Times New Roman" w:hAnsi="Times New Roman" w:cs="Times New Roman"/>
        </w:rPr>
      </w:pPr>
      <w:r>
        <w:rPr>
          <w:rFonts w:hint="default" w:ascii="Times New Roman" w:hAnsi="Times New Roman" w:cs="Times New Roman"/>
        </w:rPr>
        <w:t>关系抽取：关系抽取是指从文本中识别出实体之间的语义关系，如“公司-创始人”、“电影-导演”等。在关系抽取标注中，需要为文本中的实体对指定它们之间的关系类型。</w:t>
      </w:r>
    </w:p>
    <w:p w14:paraId="64E252B8">
      <w:pPr>
        <w:ind w:firstLine="480"/>
        <w:rPr>
          <w:rFonts w:hint="default" w:ascii="Times New Roman" w:hAnsi="Times New Roman" w:cs="Times New Roman"/>
        </w:rPr>
      </w:pPr>
      <w:r>
        <w:rPr>
          <w:rFonts w:hint="default" w:ascii="Times New Roman" w:hAnsi="Times New Roman" w:cs="Times New Roman"/>
        </w:rPr>
        <w:t>文本摘要：文本摘要是指通过计算机自动生成原文的简短摘要，以保留原文的主要信息和意义。在文本摘要标注中，需要为给定的长文本提供简短且准确的摘要。</w:t>
      </w:r>
    </w:p>
    <w:p w14:paraId="14712C16">
      <w:pPr>
        <w:ind w:firstLine="480"/>
        <w:rPr>
          <w:rFonts w:hint="default" w:ascii="Times New Roman" w:hAnsi="Times New Roman" w:cs="Times New Roman"/>
        </w:rPr>
      </w:pPr>
      <w:r>
        <w:rPr>
          <w:rFonts w:hint="default" w:ascii="Times New Roman" w:hAnsi="Times New Roman" w:cs="Times New Roman"/>
        </w:rPr>
        <w:t>分类关系：分类关系标注是指将文本数据按照预定义的层次结构进行分类，如将新闻文章分为体育、娱乐、科技等类别，并进一步细分。在分类关系标注中，需要为每个文本分配一个或多个层次类别标签，以反映其主题和内容。</w:t>
      </w:r>
    </w:p>
    <w:p w14:paraId="2B2F7151">
      <w:pPr>
        <w:ind w:firstLine="480"/>
        <w:rPr>
          <w:rFonts w:hint="default" w:ascii="Times New Roman" w:hAnsi="Times New Roman" w:cs="Times New Roman"/>
        </w:rPr>
      </w:pPr>
      <w:r>
        <w:rPr>
          <w:rFonts w:hint="default" w:ascii="Times New Roman" w:hAnsi="Times New Roman" w:cs="Times New Roman"/>
        </w:rPr>
        <w:t>文本分类：文本分类是指将文本数据按照预定义的类别进行划分，如情感分析中的正面、负面、中性等。在文本分类标注中，需要为每个文本分配一个或多个类别标签，以表示其所属的类型或主题。</w:t>
      </w:r>
    </w:p>
    <w:p w14:paraId="0985CC57">
      <w:pPr>
        <w:ind w:firstLine="480"/>
        <w:rPr>
          <w:rFonts w:hint="default" w:ascii="Times New Roman" w:hAnsi="Times New Roman" w:cs="Times New Roman"/>
        </w:rPr>
      </w:pPr>
      <w:r>
        <w:rPr>
          <w:rFonts w:hint="default" w:ascii="Times New Roman" w:hAnsi="Times New Roman" w:cs="Times New Roman"/>
        </w:rPr>
        <w:t>问答系统：问答系统是指能够自动回答用户提出的问题的计算机系统。在问答系统的标注中，需要为给定的问题和答案对进行标注。</w:t>
      </w:r>
    </w:p>
    <w:p w14:paraId="214AE8A9">
      <w:pPr>
        <w:ind w:firstLine="480"/>
        <w:rPr>
          <w:rFonts w:hint="default" w:ascii="Times New Roman" w:hAnsi="Times New Roman" w:cs="Times New Roman"/>
        </w:rPr>
      </w:pPr>
    </w:p>
    <w:p w14:paraId="790E5B35">
      <w:pPr>
        <w:ind w:firstLine="480"/>
        <w:rPr>
          <w:rFonts w:hint="default" w:ascii="Times New Roman" w:hAnsi="Times New Roman" w:cs="Times New Roman"/>
        </w:rPr>
      </w:pPr>
      <w:r>
        <w:rPr>
          <w:rFonts w:hint="default" w:ascii="Times New Roman" w:hAnsi="Times New Roman" w:cs="Times New Roman"/>
        </w:rPr>
        <w:t>3）视频类标注模板</w:t>
      </w:r>
    </w:p>
    <w:p w14:paraId="5919D938">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100955" cy="2695575"/>
            <wp:effectExtent l="0" t="0" r="4445" b="1905"/>
            <wp:docPr id="69" name="图片 63"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3" descr="图形用户界面, 文本, 应用程序&#10;&#10;描述已自动生成"/>
                    <pic:cNvPicPr>
                      <a:picLocks noChangeAspect="1"/>
                    </pic:cNvPicPr>
                  </pic:nvPicPr>
                  <pic:blipFill>
                    <a:blip r:embed="rId52"/>
                    <a:stretch>
                      <a:fillRect/>
                    </a:stretch>
                  </pic:blipFill>
                  <pic:spPr>
                    <a:xfrm>
                      <a:off x="0" y="0"/>
                      <a:ext cx="5100955" cy="2695575"/>
                    </a:xfrm>
                    <a:prstGeom prst="rect">
                      <a:avLst/>
                    </a:prstGeom>
                    <a:noFill/>
                    <a:ln>
                      <a:noFill/>
                    </a:ln>
                  </pic:spPr>
                </pic:pic>
              </a:graphicData>
            </a:graphic>
          </wp:inline>
        </w:drawing>
      </w:r>
    </w:p>
    <w:p w14:paraId="5CBB243F">
      <w:pPr>
        <w:pStyle w:val="3"/>
        <w:rPr>
          <w:rFonts w:hint="default" w:ascii="Times New Roman" w:hAnsi="Times New Roman" w:cs="Times New Roman"/>
        </w:rPr>
      </w:pPr>
      <w:r>
        <w:rPr>
          <w:rFonts w:hint="default" w:ascii="Times New Roman" w:hAnsi="Times New Roman" w:cs="Times New Roman"/>
        </w:rPr>
        <w:t>图：视频标注模板</w:t>
      </w:r>
    </w:p>
    <w:p w14:paraId="24749AD3">
      <w:pPr>
        <w:pStyle w:val="38"/>
        <w:numPr>
          <w:ilvl w:val="7"/>
          <w:numId w:val="1"/>
        </w:numPr>
        <w:ind w:left="1418" w:leftChars="0" w:hanging="1418" w:firstLineChars="0"/>
        <w:outlineLvl w:val="6"/>
        <w:rPr>
          <w:rFonts w:hint="default"/>
        </w:rPr>
      </w:pPr>
      <w:r>
        <w:rPr>
          <w:rFonts w:hint="default"/>
        </w:rPr>
        <w:t>标签管理</w:t>
      </w:r>
    </w:p>
    <w:p w14:paraId="22CD6A48">
      <w:pPr>
        <w:ind w:firstLine="480"/>
        <w:rPr>
          <w:rFonts w:hint="default" w:ascii="Times New Roman" w:hAnsi="Times New Roman" w:cs="Times New Roman"/>
        </w:rPr>
      </w:pPr>
      <w:r>
        <w:rPr>
          <w:rFonts w:hint="default" w:ascii="Times New Roman" w:hAnsi="Times New Roman" w:cs="Times New Roman"/>
        </w:rPr>
        <w:t>数据标注标签组管理</w:t>
      </w:r>
    </w:p>
    <w:p w14:paraId="42D517D6">
      <w:pPr>
        <w:ind w:firstLine="480"/>
        <w:rPr>
          <w:rFonts w:hint="default" w:ascii="Times New Roman" w:hAnsi="Times New Roman" w:cs="Times New Roman"/>
        </w:rPr>
      </w:pPr>
      <w:r>
        <w:rPr>
          <w:rFonts w:hint="default" w:ascii="Times New Roman" w:hAnsi="Times New Roman" w:cs="Times New Roman"/>
        </w:rPr>
        <w:t>为了方便管理数据标注的内容，需要对标注结果分配一个或多个类别标签，以表示其所属的类型或主题。</w:t>
      </w:r>
    </w:p>
    <w:p w14:paraId="0008589F">
      <w:pPr>
        <w:ind w:firstLine="480"/>
        <w:rPr>
          <w:rFonts w:hint="default" w:ascii="Times New Roman" w:hAnsi="Times New Roman" w:cs="Times New Roman"/>
        </w:rPr>
      </w:pPr>
      <w:r>
        <w:rPr>
          <w:rFonts w:hint="default" w:ascii="Times New Roman" w:hAnsi="Times New Roman" w:cs="Times New Roman"/>
        </w:rPr>
        <w:t>1、数据标注标签组新增</w:t>
      </w:r>
    </w:p>
    <w:p w14:paraId="5EB66210">
      <w:pPr>
        <w:ind w:firstLine="480"/>
        <w:rPr>
          <w:rFonts w:hint="default" w:ascii="Times New Roman" w:hAnsi="Times New Roman" w:cs="Times New Roman"/>
        </w:rPr>
      </w:pPr>
      <w:r>
        <w:rPr>
          <w:rFonts w:hint="default" w:ascii="Times New Roman" w:hAnsi="Times New Roman" w:cs="Times New Roman"/>
        </w:rPr>
        <w:t>用户可通过直观的界面创建新的标签组，用于分类管理标签。新增标签组时，用户需输入标签组名称、描述，以及关联的标签等基本信息。提供标签组模板，便于用户快速创建。</w:t>
      </w:r>
    </w:p>
    <w:p w14:paraId="6FC6D0E5">
      <w:pPr>
        <w:ind w:firstLine="480"/>
        <w:rPr>
          <w:rFonts w:hint="default" w:ascii="Times New Roman" w:hAnsi="Times New Roman" w:cs="Times New Roman"/>
        </w:rPr>
      </w:pPr>
      <w:r>
        <w:rPr>
          <w:rFonts w:hint="default" w:ascii="Times New Roman" w:hAnsi="Times New Roman" w:cs="Times New Roman"/>
        </w:rPr>
        <w:t>2、数据标注标签组删除</w:t>
      </w:r>
    </w:p>
    <w:p w14:paraId="5EBC4153">
      <w:pPr>
        <w:ind w:firstLine="480"/>
        <w:rPr>
          <w:rFonts w:hint="default" w:ascii="Times New Roman" w:hAnsi="Times New Roman" w:cs="Times New Roman"/>
        </w:rPr>
      </w:pPr>
      <w:r>
        <w:rPr>
          <w:rFonts w:hint="default" w:ascii="Times New Roman" w:hAnsi="Times New Roman" w:cs="Times New Roman"/>
        </w:rPr>
        <w:t>用户可选择一个或多个标签组进行删除操作，只删除标签组，标签组关联的标签不删除。删除前系统将提示用户确认，防止误删。删除操作后，系统将自动清理相关联的数据，确保数据一致性。</w:t>
      </w:r>
    </w:p>
    <w:p w14:paraId="57CE3502">
      <w:pPr>
        <w:ind w:firstLine="480"/>
        <w:rPr>
          <w:rFonts w:hint="default" w:ascii="Times New Roman" w:hAnsi="Times New Roman" w:cs="Times New Roman"/>
        </w:rPr>
      </w:pPr>
      <w:r>
        <w:rPr>
          <w:rFonts w:hint="default" w:ascii="Times New Roman" w:hAnsi="Times New Roman" w:cs="Times New Roman"/>
        </w:rPr>
        <w:t>3、数据标注标签组编辑</w:t>
      </w:r>
    </w:p>
    <w:p w14:paraId="301080FA">
      <w:pPr>
        <w:ind w:firstLine="480"/>
        <w:rPr>
          <w:rFonts w:hint="default" w:ascii="Times New Roman" w:hAnsi="Times New Roman" w:cs="Times New Roman"/>
        </w:rPr>
      </w:pPr>
      <w:r>
        <w:rPr>
          <w:rFonts w:hint="default" w:ascii="Times New Roman" w:hAnsi="Times New Roman" w:cs="Times New Roman"/>
        </w:rPr>
        <w:t>用户可修改现有标签组的名称、描述、以及标签组里关联的标签等属性，编辑操作支持提交和取消，确保用户操作的可逆性。</w:t>
      </w:r>
    </w:p>
    <w:p w14:paraId="1F39C383">
      <w:pPr>
        <w:ind w:firstLine="480"/>
        <w:rPr>
          <w:rFonts w:hint="default" w:ascii="Times New Roman" w:hAnsi="Times New Roman" w:cs="Times New Roman"/>
        </w:rPr>
      </w:pPr>
      <w:r>
        <w:rPr>
          <w:rFonts w:hint="default" w:ascii="Times New Roman" w:hAnsi="Times New Roman" w:cs="Times New Roman"/>
        </w:rPr>
        <w:t>4、数据标注标签组查询</w:t>
      </w:r>
    </w:p>
    <w:p w14:paraId="33205E4F">
      <w:pPr>
        <w:ind w:firstLine="480"/>
        <w:rPr>
          <w:rFonts w:hint="default" w:ascii="Times New Roman" w:hAnsi="Times New Roman" w:cs="Times New Roman"/>
        </w:rPr>
      </w:pPr>
      <w:r>
        <w:rPr>
          <w:rFonts w:hint="default" w:ascii="Times New Roman" w:hAnsi="Times New Roman" w:cs="Times New Roman"/>
        </w:rPr>
        <w:t>提供搜索功能，用户可通过关键词快速查找特定标签组。支持多种筛选条件，如创建时间、修改时间、标签组状态等。</w:t>
      </w:r>
    </w:p>
    <w:p w14:paraId="367130E6">
      <w:pPr>
        <w:ind w:firstLine="480"/>
        <w:rPr>
          <w:rFonts w:hint="default" w:ascii="Times New Roman" w:hAnsi="Times New Roman" w:cs="Times New Roman"/>
        </w:rPr>
      </w:pPr>
      <w:r>
        <w:rPr>
          <w:rFonts w:hint="default" w:ascii="Times New Roman" w:hAnsi="Times New Roman" w:cs="Times New Roman"/>
        </w:rPr>
        <w:t>5、数据标注标签组批量添加</w:t>
      </w:r>
    </w:p>
    <w:p w14:paraId="33387219">
      <w:pPr>
        <w:ind w:firstLine="480"/>
        <w:rPr>
          <w:rFonts w:hint="default" w:ascii="Times New Roman" w:hAnsi="Times New Roman" w:cs="Times New Roman"/>
        </w:rPr>
      </w:pPr>
      <w:r>
        <w:rPr>
          <w:rFonts w:hint="default" w:ascii="Times New Roman" w:hAnsi="Times New Roman" w:cs="Times New Roman"/>
        </w:rPr>
        <w:t>提供标签组批量添加的csv模版，用户先下载标签组模版，填写后通过上传文件的方式，一次性添加多个标签信息到指定标签组，以及创建多个标签组。</w:t>
      </w:r>
    </w:p>
    <w:p w14:paraId="1F0834D1">
      <w:pPr>
        <w:ind w:firstLine="480"/>
        <w:rPr>
          <w:rFonts w:hint="default" w:ascii="Times New Roman" w:hAnsi="Times New Roman" w:cs="Times New Roman"/>
        </w:rPr>
      </w:pPr>
      <w:r>
        <w:rPr>
          <w:rFonts w:hint="default" w:ascii="Times New Roman" w:hAnsi="Times New Roman" w:cs="Times New Roman"/>
        </w:rPr>
        <w:t>6、数据标注批量搜索特定标签组</w:t>
      </w:r>
    </w:p>
    <w:p w14:paraId="1562BE69">
      <w:pPr>
        <w:ind w:firstLine="480"/>
        <w:rPr>
          <w:rFonts w:hint="default" w:ascii="Times New Roman" w:hAnsi="Times New Roman" w:cs="Times New Roman"/>
        </w:rPr>
      </w:pPr>
      <w:r>
        <w:rPr>
          <w:rFonts w:hint="default" w:ascii="Times New Roman" w:hAnsi="Times New Roman" w:cs="Times New Roman"/>
        </w:rPr>
        <w:t>用户可输入多个关键词进行批量搜索，系统将展示匹配的所有标签组。支持高级搜索，包括模糊匹配、精确匹配等搜索模式。</w:t>
      </w:r>
    </w:p>
    <w:p w14:paraId="2A254F21">
      <w:pPr>
        <w:ind w:firstLine="480"/>
        <w:rPr>
          <w:rFonts w:hint="default" w:ascii="Times New Roman" w:hAnsi="Times New Roman" w:cs="Times New Roman"/>
        </w:rPr>
      </w:pPr>
      <w:r>
        <w:rPr>
          <w:rFonts w:hint="default" w:ascii="Times New Roman" w:hAnsi="Times New Roman" w:cs="Times New Roman"/>
        </w:rPr>
        <w:t>数据标注单个标签管理</w:t>
      </w:r>
    </w:p>
    <w:p w14:paraId="5A40B09B">
      <w:pPr>
        <w:ind w:firstLine="480"/>
        <w:rPr>
          <w:rFonts w:hint="default" w:ascii="Times New Roman" w:hAnsi="Times New Roman" w:cs="Times New Roman"/>
        </w:rPr>
      </w:pPr>
      <w:r>
        <w:rPr>
          <w:rFonts w:hint="default" w:ascii="Times New Roman" w:hAnsi="Times New Roman" w:cs="Times New Roman"/>
        </w:rPr>
        <w:t>1、数据标注单个标签新增</w:t>
      </w:r>
    </w:p>
    <w:p w14:paraId="22320FE0">
      <w:pPr>
        <w:ind w:firstLine="480"/>
        <w:rPr>
          <w:rFonts w:hint="default" w:ascii="Times New Roman" w:hAnsi="Times New Roman" w:cs="Times New Roman"/>
        </w:rPr>
      </w:pPr>
      <w:r>
        <w:rPr>
          <w:rFonts w:hint="default" w:ascii="Times New Roman" w:hAnsi="Times New Roman" w:cs="Times New Roman"/>
        </w:rPr>
        <w:t>用户可在标签组内添加新的单个标签。新标签需填写名称、描述等必要信息。</w:t>
      </w:r>
    </w:p>
    <w:p w14:paraId="25BBE73C">
      <w:pPr>
        <w:ind w:firstLine="480"/>
        <w:rPr>
          <w:rFonts w:hint="default" w:ascii="Times New Roman" w:hAnsi="Times New Roman" w:cs="Times New Roman"/>
        </w:rPr>
      </w:pPr>
      <w:r>
        <w:rPr>
          <w:rFonts w:hint="default" w:ascii="Times New Roman" w:hAnsi="Times New Roman" w:cs="Times New Roman"/>
        </w:rPr>
        <w:t>2、数据标注单个标签删除</w:t>
      </w:r>
    </w:p>
    <w:p w14:paraId="1EC296D4">
      <w:pPr>
        <w:ind w:firstLine="480"/>
        <w:rPr>
          <w:rFonts w:hint="default" w:ascii="Times New Roman" w:hAnsi="Times New Roman" w:cs="Times New Roman"/>
        </w:rPr>
      </w:pPr>
      <w:r>
        <w:rPr>
          <w:rFonts w:hint="default" w:ascii="Times New Roman" w:hAnsi="Times New Roman" w:cs="Times New Roman"/>
        </w:rPr>
        <w:t>用户可从标签组中删除不再需要的单个标签。删除操作将同时移除标签与数据的关联。</w:t>
      </w:r>
    </w:p>
    <w:p w14:paraId="2FEE73BF">
      <w:pPr>
        <w:ind w:firstLine="480"/>
        <w:rPr>
          <w:rFonts w:hint="default" w:ascii="Times New Roman" w:hAnsi="Times New Roman" w:cs="Times New Roman"/>
        </w:rPr>
      </w:pPr>
      <w:r>
        <w:rPr>
          <w:rFonts w:hint="default" w:ascii="Times New Roman" w:hAnsi="Times New Roman" w:cs="Times New Roman"/>
        </w:rPr>
        <w:t>3、数据标注单个标签编辑</w:t>
      </w:r>
    </w:p>
    <w:p w14:paraId="4AAA6C7A">
      <w:pPr>
        <w:ind w:firstLine="480"/>
        <w:rPr>
          <w:rFonts w:hint="default" w:ascii="Times New Roman" w:hAnsi="Times New Roman" w:cs="Times New Roman"/>
        </w:rPr>
      </w:pPr>
      <w:r>
        <w:rPr>
          <w:rFonts w:hint="default" w:ascii="Times New Roman" w:hAnsi="Times New Roman" w:cs="Times New Roman"/>
        </w:rPr>
        <w:t>用户可以修改单个标签的名称、描述等属性。编辑操作实时生效，无需发布审核。</w:t>
      </w:r>
    </w:p>
    <w:p w14:paraId="4E4C0B95">
      <w:pPr>
        <w:ind w:firstLine="480"/>
        <w:rPr>
          <w:rFonts w:hint="default" w:ascii="Times New Roman" w:hAnsi="Times New Roman" w:cs="Times New Roman"/>
        </w:rPr>
      </w:pPr>
      <w:r>
        <w:rPr>
          <w:rFonts w:hint="default" w:ascii="Times New Roman" w:hAnsi="Times New Roman" w:cs="Times New Roman"/>
        </w:rPr>
        <w:t>4、数据标注单个标签查询</w:t>
      </w:r>
    </w:p>
    <w:p w14:paraId="174F8101">
      <w:pPr>
        <w:ind w:firstLine="480"/>
        <w:rPr>
          <w:rFonts w:hint="default" w:ascii="Times New Roman" w:hAnsi="Times New Roman" w:cs="Times New Roman"/>
        </w:rPr>
      </w:pPr>
      <w:r>
        <w:rPr>
          <w:rFonts w:hint="default" w:ascii="Times New Roman" w:hAnsi="Times New Roman" w:cs="Times New Roman"/>
        </w:rPr>
        <w:t>用户可通过标签名称或其他属性快速查找特定标签。查询结果支持排序和筛选，方便用户定位。</w:t>
      </w:r>
    </w:p>
    <w:p w14:paraId="3E6BAE9C">
      <w:pPr>
        <w:ind w:firstLine="480"/>
        <w:rPr>
          <w:rFonts w:hint="default" w:ascii="Times New Roman" w:hAnsi="Times New Roman" w:cs="Times New Roman"/>
        </w:rPr>
      </w:pPr>
      <w:r>
        <w:rPr>
          <w:rFonts w:hint="default" w:ascii="Times New Roman" w:hAnsi="Times New Roman" w:cs="Times New Roman"/>
        </w:rPr>
        <w:t>5、数据标注单个标签批量导入</w:t>
      </w:r>
    </w:p>
    <w:p w14:paraId="5DDAF6DB">
      <w:pPr>
        <w:ind w:firstLine="480"/>
        <w:rPr>
          <w:rFonts w:hint="default" w:ascii="Times New Roman" w:hAnsi="Times New Roman" w:cs="Times New Roman"/>
        </w:rPr>
      </w:pPr>
      <w:r>
        <w:rPr>
          <w:rFonts w:hint="default" w:ascii="Times New Roman" w:hAnsi="Times New Roman" w:cs="Times New Roman"/>
        </w:rPr>
        <w:t>系统支持通过CSV、Excel等文件格式批量导入标签。批量导入时，系统将自动去重并提示用户处理重复项。</w:t>
      </w:r>
    </w:p>
    <w:p w14:paraId="51C2036E">
      <w:pPr>
        <w:pStyle w:val="38"/>
        <w:numPr>
          <w:ilvl w:val="7"/>
          <w:numId w:val="1"/>
        </w:numPr>
        <w:ind w:left="1418" w:leftChars="0" w:hanging="1418" w:firstLineChars="0"/>
        <w:outlineLvl w:val="6"/>
        <w:rPr>
          <w:rFonts w:hint="default"/>
        </w:rPr>
      </w:pPr>
      <w:r>
        <w:rPr>
          <w:rFonts w:hint="default"/>
        </w:rPr>
        <w:t>团队众包标注</w:t>
      </w:r>
    </w:p>
    <w:p w14:paraId="56467016">
      <w:pPr>
        <w:ind w:firstLine="480"/>
        <w:rPr>
          <w:rFonts w:hint="default" w:ascii="Times New Roman" w:hAnsi="Times New Roman" w:cs="Times New Roman"/>
        </w:rPr>
      </w:pPr>
      <w:r>
        <w:rPr>
          <w:rFonts w:hint="default" w:ascii="Times New Roman" w:hAnsi="Times New Roman" w:cs="Times New Roman"/>
        </w:rPr>
        <w:t>1、团队成员管理</w:t>
      </w:r>
    </w:p>
    <w:p w14:paraId="1A57BADF">
      <w:pPr>
        <w:ind w:firstLine="480"/>
        <w:rPr>
          <w:rFonts w:hint="default" w:ascii="Times New Roman" w:hAnsi="Times New Roman" w:cs="Times New Roman"/>
        </w:rPr>
      </w:pPr>
      <w:r>
        <w:rPr>
          <w:rFonts w:hint="default" w:ascii="Times New Roman" w:hAnsi="Times New Roman" w:cs="Times New Roman"/>
        </w:rPr>
        <w:t>平台支持管理员可以添加新的标注团队成员，包括输入成员的基本信息（如姓名、邮箱、手机号、角色等），并为其分配权限和角色。此外，管理员还可以设置成员的加入时间、到期时间等，以便更好地管理团队成员的生命周期。</w:t>
      </w:r>
    </w:p>
    <w:p w14:paraId="782DD992">
      <w:pPr>
        <w:ind w:firstLine="480"/>
        <w:rPr>
          <w:rFonts w:hint="default" w:ascii="Times New Roman" w:hAnsi="Times New Roman" w:cs="Times New Roman"/>
        </w:rPr>
      </w:pPr>
      <w:r>
        <w:rPr>
          <w:rFonts w:hint="default" w:ascii="Times New Roman" w:hAnsi="Times New Roman" w:cs="Times New Roman"/>
        </w:rPr>
        <w:t>支持团队管理员可以修改现有团队成员的信息，包括更新基本信息、调整角色和权限等。管理员还可以查看成员的标注历史和标注任务数据，以便更好地评估和管理团队成员。</w:t>
      </w:r>
    </w:p>
    <w:p w14:paraId="35B39CBF">
      <w:pPr>
        <w:ind w:firstLine="480"/>
        <w:rPr>
          <w:rFonts w:hint="default" w:ascii="Times New Roman" w:hAnsi="Times New Roman" w:cs="Times New Roman"/>
        </w:rPr>
      </w:pPr>
      <w:r>
        <w:rPr>
          <w:rFonts w:hint="default" w:ascii="Times New Roman" w:hAnsi="Times New Roman" w:cs="Times New Roman"/>
        </w:rPr>
        <w:t>支持管理员可以移除不再需要的团队成员，释放资源并维护团队的安全性。在删除成员之前，管理员可以查看成员的标注任务完成情况，以便后续分析和审计。</w:t>
      </w:r>
    </w:p>
    <w:p w14:paraId="3DC5AC36">
      <w:pPr>
        <w:ind w:firstLine="480"/>
        <w:rPr>
          <w:rFonts w:hint="default" w:ascii="Times New Roman" w:hAnsi="Times New Roman" w:cs="Times New Roman"/>
        </w:rPr>
      </w:pPr>
      <w:r>
        <w:rPr>
          <w:rFonts w:hint="default" w:ascii="Times New Roman" w:hAnsi="Times New Roman" w:cs="Times New Roman"/>
        </w:rPr>
        <w:t>支持管理员可以查看所有团队成员的详细信息，包括基本信息、角色、权限、标注历史和绩效数据等。管理员还可以根据特定条件进行搜索和筛选，以便快速找到特定成员。</w:t>
      </w:r>
    </w:p>
    <w:p w14:paraId="019338A5">
      <w:pPr>
        <w:ind w:firstLine="480"/>
        <w:rPr>
          <w:rFonts w:hint="default" w:ascii="Times New Roman" w:hAnsi="Times New Roman" w:cs="Times New Roman"/>
        </w:rPr>
      </w:pPr>
      <w:r>
        <w:rPr>
          <w:rFonts w:hint="default" w:ascii="Times New Roman" w:hAnsi="Times New Roman" w:cs="Times New Roman"/>
        </w:rPr>
        <w:t>2、团队任务管理</w:t>
      </w:r>
    </w:p>
    <w:p w14:paraId="235E7468">
      <w:pPr>
        <w:ind w:firstLine="480"/>
        <w:rPr>
          <w:rFonts w:hint="default" w:ascii="Times New Roman" w:hAnsi="Times New Roman" w:cs="Times New Roman"/>
        </w:rPr>
      </w:pPr>
      <w:r>
        <w:rPr>
          <w:rFonts w:hint="default" w:ascii="Times New Roman" w:hAnsi="Times New Roman" w:cs="Times New Roman"/>
        </w:rPr>
        <w:t>平台支持管理员可以创建新的标注任务，包括设置任务名称、描述、数据集、标注类型、截止时间等基本信息。管理员还可以对任务进拆分和分配，并设置任务工作流，以便系统将任务自动分配给可用的标注员。</w:t>
      </w:r>
    </w:p>
    <w:p w14:paraId="1EE1B015">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2405" cy="1152525"/>
            <wp:effectExtent l="0" t="0" r="635" b="5715"/>
            <wp:docPr id="14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64"/>
                    <pic:cNvPicPr>
                      <a:picLocks noChangeAspect="1"/>
                    </pic:cNvPicPr>
                  </pic:nvPicPr>
                  <pic:blipFill>
                    <a:blip r:embed="rId31"/>
                    <a:stretch>
                      <a:fillRect/>
                    </a:stretch>
                  </pic:blipFill>
                  <pic:spPr>
                    <a:xfrm>
                      <a:off x="0" y="0"/>
                      <a:ext cx="5272405" cy="1152525"/>
                    </a:xfrm>
                    <a:prstGeom prst="rect">
                      <a:avLst/>
                    </a:prstGeom>
                    <a:noFill/>
                    <a:ln>
                      <a:noFill/>
                    </a:ln>
                  </pic:spPr>
                </pic:pic>
              </a:graphicData>
            </a:graphic>
          </wp:inline>
        </w:drawing>
      </w:r>
    </w:p>
    <w:p w14:paraId="4C0EAC99">
      <w:pPr>
        <w:pStyle w:val="3"/>
        <w:rPr>
          <w:rFonts w:hint="default" w:ascii="Times New Roman" w:hAnsi="Times New Roman" w:cs="Times New Roman"/>
        </w:rPr>
      </w:pPr>
      <w:r>
        <w:rPr>
          <w:rFonts w:hint="default" w:ascii="Times New Roman" w:hAnsi="Times New Roman" w:cs="Times New Roman"/>
        </w:rPr>
        <w:t>图：团队标注任务创建</w:t>
      </w:r>
    </w:p>
    <w:p w14:paraId="1A01C789">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767580" cy="1304925"/>
            <wp:effectExtent l="0" t="0" r="2540" b="5715"/>
            <wp:docPr id="143" name="图片 65" descr="图表&#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65" descr="图表&#10;&#10;低可信度描述已自动生成"/>
                    <pic:cNvPicPr>
                      <a:picLocks noChangeAspect="1"/>
                    </pic:cNvPicPr>
                  </pic:nvPicPr>
                  <pic:blipFill>
                    <a:blip r:embed="rId48"/>
                    <a:stretch>
                      <a:fillRect/>
                    </a:stretch>
                  </pic:blipFill>
                  <pic:spPr>
                    <a:xfrm>
                      <a:off x="0" y="0"/>
                      <a:ext cx="4767580" cy="1304925"/>
                    </a:xfrm>
                    <a:prstGeom prst="rect">
                      <a:avLst/>
                    </a:prstGeom>
                    <a:noFill/>
                    <a:ln>
                      <a:noFill/>
                    </a:ln>
                  </pic:spPr>
                </pic:pic>
              </a:graphicData>
            </a:graphic>
          </wp:inline>
        </w:drawing>
      </w:r>
    </w:p>
    <w:p w14:paraId="62CD0688">
      <w:pPr>
        <w:pStyle w:val="3"/>
        <w:rPr>
          <w:rFonts w:hint="default" w:ascii="Times New Roman" w:hAnsi="Times New Roman" w:cs="Times New Roman"/>
        </w:rPr>
      </w:pPr>
      <w:r>
        <w:rPr>
          <w:rFonts w:hint="default" w:ascii="Times New Roman" w:hAnsi="Times New Roman" w:cs="Times New Roman"/>
        </w:rPr>
        <w:t>图：团队标注任务拆分</w:t>
      </w:r>
    </w:p>
    <w:p w14:paraId="670FB869">
      <w:pPr>
        <w:ind w:firstLine="480"/>
        <w:rPr>
          <w:rFonts w:hint="default" w:ascii="Times New Roman" w:hAnsi="Times New Roman" w:cs="Times New Roman"/>
        </w:rPr>
      </w:pPr>
      <w:r>
        <w:rPr>
          <w:rFonts w:hint="default" w:ascii="Times New Roman" w:hAnsi="Times New Roman" w:cs="Times New Roman"/>
        </w:rPr>
        <w:t>管理员可以删除不再需要的团队标注任务，释放资源并维护任务的整洁性。在删除任务之前</w:t>
      </w:r>
    </w:p>
    <w:p w14:paraId="0BD9CFD2">
      <w:pPr>
        <w:ind w:firstLine="480"/>
        <w:rPr>
          <w:rFonts w:hint="default" w:ascii="Times New Roman" w:hAnsi="Times New Roman" w:cs="Times New Roman"/>
        </w:rPr>
      </w:pPr>
      <w:r>
        <w:rPr>
          <w:rFonts w:hint="default" w:ascii="Times New Roman" w:hAnsi="Times New Roman" w:cs="Times New Roman"/>
        </w:rPr>
        <w:t>管理员可以结束已完成或超时的标注任务，并标记任务的完成状态。在结束任务之前，评估任务的完成质量和效果。</w:t>
      </w:r>
    </w:p>
    <w:p w14:paraId="5D6D7675">
      <w:pPr>
        <w:ind w:firstLine="480"/>
        <w:rPr>
          <w:rFonts w:hint="default" w:ascii="Times New Roman" w:hAnsi="Times New Roman" w:cs="Times New Roman"/>
        </w:rPr>
      </w:pPr>
      <w:r>
        <w:rPr>
          <w:rFonts w:hint="default" w:ascii="Times New Roman" w:hAnsi="Times New Roman" w:cs="Times New Roman"/>
        </w:rPr>
        <w:t>支持管理员可以查看任务的详细信息，包括任务名称、描述、数据集、标注类型、截止时间等基本信息。同时，管理员还可以查看标注列表，包括每个标注的详细信息（如标注员、标注时间、标注结果等）以及标注进度和绩效数据。</w:t>
      </w:r>
    </w:p>
    <w:p w14:paraId="51AA763D">
      <w:pPr>
        <w:ind w:firstLine="480"/>
        <w:rPr>
          <w:rFonts w:hint="default" w:ascii="Times New Roman" w:hAnsi="Times New Roman" w:cs="Times New Roman"/>
        </w:rPr>
      </w:pPr>
      <w:r>
        <w:rPr>
          <w:rFonts w:hint="default" w:ascii="Times New Roman" w:hAnsi="Times New Roman" w:cs="Times New Roman"/>
        </w:rPr>
        <w:t>3、用户标注任务管理</w:t>
      </w:r>
    </w:p>
    <w:p w14:paraId="20E24FCD">
      <w:pPr>
        <w:ind w:firstLine="480"/>
        <w:rPr>
          <w:rFonts w:hint="default" w:ascii="Times New Roman" w:hAnsi="Times New Roman" w:cs="Times New Roman"/>
        </w:rPr>
      </w:pPr>
      <w:r>
        <w:rPr>
          <w:rFonts w:hint="default" w:ascii="Times New Roman" w:hAnsi="Times New Roman" w:cs="Times New Roman"/>
        </w:rPr>
        <w:t>支持用户可以查看自己当前正在进行的标注任务，包括任务名称、描述、数据集、截止时间等基本信息。</w:t>
      </w:r>
    </w:p>
    <w:p w14:paraId="4AB2B0B0">
      <w:pPr>
        <w:ind w:firstLine="480"/>
        <w:rPr>
          <w:rFonts w:hint="default" w:ascii="Times New Roman" w:hAnsi="Times New Roman" w:cs="Times New Roman"/>
        </w:rPr>
      </w:pPr>
      <w:r>
        <w:rPr>
          <w:rFonts w:hint="default" w:ascii="Times New Roman" w:hAnsi="Times New Roman" w:cs="Times New Roman"/>
        </w:rPr>
        <w:t>用户可以查看自己已经完成的标注任务，包括任务名称、描述、数据集、完成时间等基本信息。同时，用户还可以查看任务的标注结果和审核状态，以便了解自己的标注质量和效果。</w:t>
      </w:r>
    </w:p>
    <w:p w14:paraId="18329751">
      <w:pPr>
        <w:ind w:firstLine="480"/>
        <w:rPr>
          <w:rFonts w:hint="default" w:ascii="Times New Roman" w:hAnsi="Times New Roman" w:cs="Times New Roman"/>
        </w:rPr>
      </w:pPr>
      <w:r>
        <w:rPr>
          <w:rFonts w:hint="default" w:ascii="Times New Roman" w:hAnsi="Times New Roman" w:cs="Times New Roman"/>
        </w:rPr>
        <w:t>支持用户可以查询自己接收的所有标注任务，包括任务名称、描述、数据集、截止时间等基本信息。</w:t>
      </w:r>
    </w:p>
    <w:p w14:paraId="3985320B">
      <w:pPr>
        <w:ind w:firstLine="480"/>
        <w:rPr>
          <w:rFonts w:hint="default" w:ascii="Times New Roman" w:hAnsi="Times New Roman" w:cs="Times New Roman"/>
        </w:rPr>
      </w:pPr>
      <w:r>
        <w:rPr>
          <w:rFonts w:hint="default" w:ascii="Times New Roman" w:hAnsi="Times New Roman" w:cs="Times New Roman"/>
        </w:rPr>
        <w:t>支持有审核权限的用户查询自己接收的所有审核任务，包括待审核数据的详细信息（如数据ID、数据类型、标注结果等）以及审核要求和规则。</w:t>
      </w:r>
    </w:p>
    <w:p w14:paraId="158810DC">
      <w:pPr>
        <w:widowControl/>
        <w:kinsoku w:val="0"/>
        <w:autoSpaceDE w:val="0"/>
        <w:autoSpaceDN w:val="0"/>
        <w:adjustRightInd w:val="0"/>
        <w:snapToGrid w:val="0"/>
        <w:spacing w:before="166" w:beforeLines="50" w:after="166" w:afterLines="50"/>
        <w:ind w:firstLine="70" w:firstLineChars="25"/>
        <w:jc w:val="left"/>
        <w:rPr>
          <w:rFonts w:hint="default" w:ascii="Times New Roman" w:hAnsi="Times New Roman" w:eastAsia="宋体" w:cs="Times New Roman"/>
        </w:rPr>
      </w:pPr>
    </w:p>
    <w:p w14:paraId="202DF21F">
      <w:pPr>
        <w:pStyle w:val="38"/>
        <w:numPr>
          <w:ilvl w:val="7"/>
          <w:numId w:val="1"/>
        </w:numPr>
        <w:ind w:left="1418" w:leftChars="0" w:hanging="1418" w:firstLineChars="0"/>
        <w:outlineLvl w:val="6"/>
        <w:rPr>
          <w:rFonts w:hint="default"/>
        </w:rPr>
      </w:pPr>
      <w:r>
        <w:rPr>
          <w:rFonts w:hint="default"/>
        </w:rPr>
        <w:t>标注进度监控与统计</w:t>
      </w:r>
    </w:p>
    <w:p w14:paraId="063D5F8A">
      <w:pPr>
        <w:ind w:firstLine="480"/>
        <w:rPr>
          <w:rFonts w:hint="default" w:ascii="Times New Roman" w:hAnsi="Times New Roman" w:cs="Times New Roman"/>
        </w:rPr>
      </w:pPr>
      <w:r>
        <w:rPr>
          <w:rFonts w:hint="default" w:ascii="Times New Roman" w:hAnsi="Times New Roman" w:cs="Times New Roman"/>
        </w:rPr>
        <w:t>实时展示标注任务的进度、完成情况和标注效率，提供数据统计和分析功能。</w:t>
      </w:r>
    </w:p>
    <w:p w14:paraId="1A0211F1">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886325" cy="2148205"/>
            <wp:effectExtent l="0" t="0" r="5715" b="635"/>
            <wp:docPr id="146" name="图片 66"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66" descr="图形用户界面, 应用程序, Teams&#10;&#10;描述已自动生成"/>
                    <pic:cNvPicPr>
                      <a:picLocks noChangeAspect="1"/>
                    </pic:cNvPicPr>
                  </pic:nvPicPr>
                  <pic:blipFill>
                    <a:blip r:embed="rId53"/>
                    <a:stretch>
                      <a:fillRect/>
                    </a:stretch>
                  </pic:blipFill>
                  <pic:spPr>
                    <a:xfrm>
                      <a:off x="0" y="0"/>
                      <a:ext cx="4886325" cy="2148205"/>
                    </a:xfrm>
                    <a:prstGeom prst="rect">
                      <a:avLst/>
                    </a:prstGeom>
                    <a:noFill/>
                    <a:ln>
                      <a:noFill/>
                    </a:ln>
                  </pic:spPr>
                </pic:pic>
              </a:graphicData>
            </a:graphic>
          </wp:inline>
        </w:drawing>
      </w:r>
    </w:p>
    <w:p w14:paraId="5ED0D0A9">
      <w:pPr>
        <w:pStyle w:val="3"/>
        <w:rPr>
          <w:rFonts w:hint="default" w:ascii="Times New Roman" w:hAnsi="Times New Roman" w:cs="Times New Roman"/>
        </w:rPr>
      </w:pPr>
      <w:r>
        <w:rPr>
          <w:rFonts w:hint="default" w:ascii="Times New Roman" w:hAnsi="Times New Roman" w:cs="Times New Roman"/>
        </w:rPr>
        <w:t>图：标注任务监控统计界面</w:t>
      </w:r>
    </w:p>
    <w:p w14:paraId="1C4D5B91">
      <w:pPr>
        <w:ind w:firstLine="480"/>
        <w:rPr>
          <w:rFonts w:hint="default" w:ascii="Times New Roman" w:hAnsi="Times New Roman" w:cs="Times New Roman"/>
        </w:rPr>
      </w:pPr>
      <w:r>
        <w:rPr>
          <w:rFonts w:hint="default" w:ascii="Times New Roman" w:hAnsi="Times New Roman" w:cs="Times New Roman"/>
        </w:rPr>
        <w:t>支持标注任务列表展示任务的完成情况，查看标注状态和标注进度，标注进度包含已标注以及未标注的数据数量</w:t>
      </w:r>
    </w:p>
    <w:p w14:paraId="7331349C">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81930" cy="1352550"/>
            <wp:effectExtent l="0" t="0" r="6350" b="3810"/>
            <wp:docPr id="14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67"/>
                    <pic:cNvPicPr>
                      <a:picLocks noChangeAspect="1"/>
                    </pic:cNvPicPr>
                  </pic:nvPicPr>
                  <pic:blipFill>
                    <a:blip r:embed="rId35"/>
                    <a:stretch>
                      <a:fillRect/>
                    </a:stretch>
                  </pic:blipFill>
                  <pic:spPr>
                    <a:xfrm>
                      <a:off x="0" y="0"/>
                      <a:ext cx="5281930" cy="1352550"/>
                    </a:xfrm>
                    <a:prstGeom prst="rect">
                      <a:avLst/>
                    </a:prstGeom>
                    <a:noFill/>
                    <a:ln>
                      <a:noFill/>
                    </a:ln>
                  </pic:spPr>
                </pic:pic>
              </a:graphicData>
            </a:graphic>
          </wp:inline>
        </w:drawing>
      </w:r>
    </w:p>
    <w:p w14:paraId="1647FBA8">
      <w:pPr>
        <w:pStyle w:val="3"/>
        <w:rPr>
          <w:rFonts w:hint="eastAsia"/>
        </w:rPr>
      </w:pPr>
      <w:r>
        <w:rPr>
          <w:rFonts w:hint="default" w:ascii="Times New Roman" w:hAnsi="Times New Roman" w:cs="Times New Roman"/>
        </w:rPr>
        <w:t>图：标注任务进度</w:t>
      </w:r>
    </w:p>
    <w:p w14:paraId="2127A208">
      <w:pPr>
        <w:pStyle w:val="38"/>
        <w:numPr>
          <w:ilvl w:val="3"/>
          <w:numId w:val="1"/>
        </w:numPr>
        <w:outlineLvl w:val="3"/>
      </w:pPr>
      <w:r>
        <w:rPr>
          <w:rFonts w:hint="eastAsia"/>
        </w:rPr>
        <w:t>模型评估</w:t>
      </w:r>
    </w:p>
    <w:p w14:paraId="25C9432F">
      <w:pPr>
        <w:ind w:firstLine="480"/>
        <w:rPr>
          <w:rFonts w:hint="eastAsia" w:ascii="宋体" w:hAnsi="宋体" w:eastAsia="宋体" w:cs="宋体"/>
        </w:rPr>
      </w:pPr>
      <w:r>
        <w:rPr>
          <w:rFonts w:hint="eastAsia" w:ascii="宋体" w:hAnsi="宋体" w:eastAsia="宋体" w:cs="宋体"/>
        </w:rPr>
        <w:t>支持对评估任务管理，支持对测评任务的检索和管理，任务清单展示评估任务名称、评估模型名称、任务状态等内容。</w:t>
      </w:r>
    </w:p>
    <w:p w14:paraId="57187728">
      <w:pPr>
        <w:ind w:firstLine="480"/>
        <w:rPr>
          <w:rFonts w:hint="eastAsia" w:ascii="宋体" w:hAnsi="宋体" w:eastAsia="宋体" w:cs="宋体"/>
        </w:rPr>
      </w:pPr>
      <w:r>
        <w:rPr>
          <w:rFonts w:hint="eastAsia" w:ascii="宋体" w:hAnsi="宋体" w:eastAsia="宋体" w:cs="宋体"/>
        </w:rPr>
        <w:t>提供AI模型评估能力，可以高效地管理和比较不同算法模型的性能表现，支持通过多张图表、文字说明和统计数据等，生成模型评测报告：</w:t>
      </w:r>
    </w:p>
    <w:p w14:paraId="73C58A83">
      <w:pPr>
        <w:numPr>
          <w:ilvl w:val="0"/>
          <w:numId w:val="5"/>
        </w:numPr>
        <w:ind w:left="420" w:leftChars="0" w:hanging="420" w:firstLineChars="0"/>
        <w:rPr>
          <w:rFonts w:hint="eastAsia" w:ascii="宋体" w:hAnsi="宋体" w:eastAsia="宋体" w:cs="宋体"/>
        </w:rPr>
      </w:pPr>
      <w:r>
        <w:rPr>
          <w:rFonts w:hint="eastAsia"/>
        </w:rPr>
        <w:t></w:t>
      </w:r>
      <w:r>
        <w:rPr>
          <w:rFonts w:hint="eastAsia" w:ascii="宋体" w:hAnsi="宋体" w:eastAsia="宋体" w:cs="宋体"/>
        </w:rPr>
        <w:t>支持用户自定义测试脚本，实现自动化的智能算法评估。</w:t>
      </w:r>
    </w:p>
    <w:p w14:paraId="435DAAB7">
      <w:pPr>
        <w:numPr>
          <w:ilvl w:val="0"/>
          <w:numId w:val="5"/>
        </w:numPr>
        <w:ind w:left="420" w:leftChars="0" w:hanging="420" w:firstLineChars="0"/>
        <w:rPr>
          <w:rFonts w:hint="eastAsia" w:ascii="宋体" w:hAnsi="宋体" w:eastAsia="宋体" w:cs="宋体"/>
        </w:rPr>
      </w:pPr>
      <w:r>
        <w:rPr>
          <w:rFonts w:hint="eastAsia" w:ascii="宋体" w:hAnsi="宋体" w:eastAsia="宋体" w:cs="宋体"/>
        </w:rPr>
        <w:t>支持测试任务管理，用于实现创建、管理和调度测试任务，支持设置测试参数和测试指标等功能。</w:t>
      </w:r>
    </w:p>
    <w:p w14:paraId="698C2B95">
      <w:pPr>
        <w:numPr>
          <w:ilvl w:val="0"/>
          <w:numId w:val="5"/>
        </w:numPr>
        <w:ind w:left="420" w:leftChars="0" w:hanging="420" w:firstLineChars="0"/>
        <w:rPr>
          <w:rFonts w:hint="eastAsia" w:ascii="宋体" w:hAnsi="宋体" w:eastAsia="宋体" w:cs="宋体"/>
        </w:rPr>
      </w:pPr>
      <w:r>
        <w:rPr>
          <w:rFonts w:hint="eastAsia" w:ascii="宋体" w:hAnsi="宋体" w:eastAsia="宋体" w:cs="宋体"/>
        </w:rPr>
        <w:t>支持测试数据集版本管理，具体算法可与测试数据集绑定，用以进行不同提供方或不同版本模型算法的横向对比。</w:t>
      </w:r>
    </w:p>
    <w:p w14:paraId="1FA087F6">
      <w:pPr>
        <w:numPr>
          <w:ilvl w:val="0"/>
          <w:numId w:val="5"/>
        </w:numPr>
        <w:ind w:left="420" w:leftChars="0" w:hanging="420" w:firstLineChars="0"/>
        <w:rPr>
          <w:rFonts w:hint="eastAsia" w:ascii="宋体" w:hAnsi="宋体" w:eastAsia="宋体" w:cs="宋体"/>
        </w:rPr>
      </w:pPr>
      <w:r>
        <w:rPr>
          <w:rFonts w:hint="eastAsia" w:ascii="宋体" w:hAnsi="宋体" w:eastAsia="宋体" w:cs="宋体"/>
        </w:rPr>
        <w:t>测试任务管理模块主要用于实现创建、管理和调度测试任务，支持设置测试参数和指标计算方法等功能。</w:t>
      </w:r>
    </w:p>
    <w:p w14:paraId="54E6C110">
      <w:pPr>
        <w:numPr>
          <w:ilvl w:val="0"/>
          <w:numId w:val="5"/>
        </w:numPr>
        <w:ind w:left="420" w:leftChars="0" w:hanging="420" w:firstLineChars="0"/>
        <w:rPr>
          <w:rFonts w:hint="eastAsia" w:ascii="宋体" w:hAnsi="宋体" w:eastAsia="宋体" w:cs="宋体"/>
        </w:rPr>
      </w:pPr>
      <w:r>
        <w:rPr>
          <w:rFonts w:hint="eastAsia" w:ascii="宋体" w:hAnsi="宋体" w:eastAsia="宋体" w:cs="宋体"/>
        </w:rPr>
        <w:t>支持模型效果评估，包含准确性、召回率、F1分数等关键指标；</w:t>
      </w:r>
    </w:p>
    <w:p w14:paraId="7D9B6B00">
      <w:pPr>
        <w:numPr>
          <w:ilvl w:val="0"/>
          <w:numId w:val="5"/>
        </w:numPr>
        <w:ind w:left="420" w:leftChars="0" w:hanging="420" w:firstLineChars="0"/>
        <w:rPr>
          <w:rFonts w:hint="eastAsia" w:ascii="宋体" w:hAnsi="宋体" w:eastAsia="宋体" w:cs="宋体"/>
        </w:rPr>
      </w:pPr>
      <w:r>
        <w:rPr>
          <w:rFonts w:hint="eastAsia" w:ascii="宋体" w:hAnsi="宋体" w:eastAsia="宋体" w:cs="宋体"/>
        </w:rPr>
        <w:t>支持性能基准测试，包含评估模型的QPS、单次平均调用耗时、TPS、GPU显存和算力的随时间波动图、TP最大响应时延等性能指标。</w:t>
      </w:r>
    </w:p>
    <w:p w14:paraId="2FCE8B11">
      <w:pPr>
        <w:numPr>
          <w:ilvl w:val="0"/>
          <w:numId w:val="5"/>
        </w:numPr>
        <w:ind w:left="420" w:leftChars="0" w:hanging="420" w:firstLineChars="0"/>
        <w:rPr>
          <w:rFonts w:hint="eastAsia" w:ascii="宋体" w:hAnsi="宋体" w:eastAsia="宋体" w:cs="宋体"/>
        </w:rPr>
      </w:pPr>
      <w:r>
        <w:rPr>
          <w:rFonts w:hint="eastAsia" w:ascii="宋体" w:hAnsi="宋体" w:eastAsia="宋体" w:cs="宋体"/>
        </w:rPr>
        <w:t>支持资源消耗评估，包含测量模型运行时对计算资源（如CPU、GPU使用率）和内存的需求。</w:t>
      </w:r>
    </w:p>
    <w:p w14:paraId="388CE82C">
      <w:pPr>
        <w:numPr>
          <w:ilvl w:val="0"/>
          <w:numId w:val="5"/>
        </w:numPr>
        <w:ind w:left="420" w:leftChars="0" w:hanging="420" w:firstLineChars="0"/>
        <w:rPr>
          <w:rFonts w:hint="eastAsia" w:ascii="宋体" w:hAnsi="宋体" w:eastAsia="宋体" w:cs="宋体"/>
        </w:rPr>
      </w:pPr>
      <w:r>
        <w:rPr>
          <w:rFonts w:hint="eastAsia" w:ascii="宋体" w:hAnsi="宋体" w:eastAsia="宋体" w:cs="宋体"/>
        </w:rPr>
        <w:t>支持对已部署上线的AI能力进行定期可用性评测，确保能力可用。</w:t>
      </w:r>
    </w:p>
    <w:p w14:paraId="4A008E18">
      <w:pPr>
        <w:numPr>
          <w:ilvl w:val="0"/>
          <w:numId w:val="5"/>
        </w:numPr>
        <w:ind w:left="420" w:leftChars="0" w:hanging="420" w:firstLineChars="0"/>
        <w:rPr>
          <w:rFonts w:hint="eastAsia" w:ascii="宋体" w:hAnsi="宋体" w:eastAsia="宋体" w:cs="宋体"/>
        </w:rPr>
      </w:pPr>
      <w:r>
        <w:rPr>
          <w:rFonts w:hint="eastAsia" w:ascii="宋体" w:hAnsi="宋体" w:eastAsia="宋体" w:cs="宋体"/>
        </w:rPr>
        <w:t>支持自动生成测试报告和可视化展示，其中包括评估的算法版本、测试集名称、测试时间、模型效果、模型性能、资源消耗等信息。</w:t>
      </w:r>
    </w:p>
    <w:p w14:paraId="256D8CA3">
      <w:pPr>
        <w:pStyle w:val="2"/>
        <w:rPr>
          <w:rFonts w:hint="eastAsia"/>
        </w:rPr>
      </w:pPr>
    </w:p>
    <w:p w14:paraId="1F68D161">
      <w:pPr>
        <w:pStyle w:val="2"/>
        <w:rPr>
          <w:rFonts w:hint="eastAsia"/>
        </w:rPr>
      </w:pPr>
    </w:p>
    <w:p w14:paraId="01473E25">
      <w:pPr>
        <w:pStyle w:val="2"/>
        <w:rPr>
          <w:rFonts w:hint="eastAsia"/>
        </w:rPr>
      </w:pPr>
    </w:p>
    <w:p w14:paraId="087FD092">
      <w:pPr>
        <w:pStyle w:val="38"/>
        <w:numPr>
          <w:ilvl w:val="2"/>
          <w:numId w:val="1"/>
        </w:numPr>
        <w:outlineLvl w:val="2"/>
        <w:rPr>
          <w:rFonts w:hint="eastAsia"/>
          <w:highlight w:val="yellow"/>
        </w:rPr>
      </w:pPr>
      <w:commentRangeStart w:id="6"/>
      <w:r>
        <w:rPr>
          <w:rFonts w:hint="eastAsia"/>
          <w:highlight w:val="yellow"/>
        </w:rPr>
        <w:t>场景工厂</w:t>
      </w:r>
    </w:p>
    <w:p w14:paraId="4E70DFC9">
      <w:pPr>
        <w:pStyle w:val="38"/>
        <w:numPr>
          <w:ilvl w:val="3"/>
          <w:numId w:val="1"/>
        </w:numPr>
        <w:outlineLvl w:val="3"/>
        <w:rPr>
          <w:rFonts w:hint="eastAsia"/>
          <w:highlight w:val="yellow"/>
        </w:rPr>
      </w:pPr>
      <w:r>
        <w:rPr>
          <w:rFonts w:hint="eastAsia"/>
          <w:highlight w:val="yellow"/>
        </w:rPr>
        <w:t>应用场景编排</w:t>
      </w:r>
    </w:p>
    <w:p w14:paraId="5B460E11">
      <w:pPr>
        <w:pStyle w:val="38"/>
        <w:numPr>
          <w:ilvl w:val="3"/>
          <w:numId w:val="1"/>
        </w:numPr>
        <w:outlineLvl w:val="3"/>
        <w:rPr>
          <w:rFonts w:hint="eastAsia"/>
          <w:highlight w:val="yellow"/>
        </w:rPr>
      </w:pPr>
      <w:r>
        <w:rPr>
          <w:rFonts w:hint="eastAsia"/>
          <w:highlight w:val="yellow"/>
        </w:rPr>
        <w:t>知识库管理</w:t>
      </w:r>
    </w:p>
    <w:p w14:paraId="2996792B">
      <w:pPr>
        <w:pStyle w:val="38"/>
        <w:numPr>
          <w:ilvl w:val="3"/>
          <w:numId w:val="1"/>
        </w:numPr>
        <w:outlineLvl w:val="3"/>
        <w:rPr>
          <w:rFonts w:hint="eastAsia"/>
          <w:highlight w:val="yellow"/>
        </w:rPr>
      </w:pPr>
      <w:r>
        <w:rPr>
          <w:rFonts w:hint="eastAsia"/>
          <w:highlight w:val="yellow"/>
        </w:rPr>
        <w:t>插件管理</w:t>
      </w:r>
    </w:p>
    <w:p w14:paraId="0CB33C0B">
      <w:pPr>
        <w:pStyle w:val="38"/>
        <w:numPr>
          <w:ilvl w:val="3"/>
          <w:numId w:val="1"/>
        </w:numPr>
        <w:outlineLvl w:val="3"/>
        <w:rPr>
          <w:rFonts w:hint="eastAsia"/>
          <w:highlight w:val="yellow"/>
        </w:rPr>
      </w:pPr>
      <w:r>
        <w:rPr>
          <w:rFonts w:hint="eastAsia"/>
          <w:highlight w:val="yellow"/>
        </w:rPr>
        <w:t>应用共享</w:t>
      </w:r>
    </w:p>
    <w:p w14:paraId="7BFD8468">
      <w:pPr>
        <w:pStyle w:val="38"/>
        <w:numPr>
          <w:ilvl w:val="3"/>
          <w:numId w:val="1"/>
        </w:numPr>
        <w:outlineLvl w:val="3"/>
        <w:rPr>
          <w:rFonts w:hint="eastAsia"/>
          <w:highlight w:val="yellow"/>
        </w:rPr>
      </w:pPr>
      <w:r>
        <w:rPr>
          <w:rFonts w:hint="eastAsia"/>
          <w:highlight w:val="yellow"/>
        </w:rPr>
        <w:t>交互式应用</w:t>
      </w:r>
      <w:commentRangeEnd w:id="6"/>
      <w:r>
        <w:commentReference w:id="6"/>
      </w:r>
    </w:p>
    <w:p w14:paraId="47CD7B86">
      <w:pPr>
        <w:pStyle w:val="38"/>
        <w:numPr>
          <w:ilvl w:val="2"/>
          <w:numId w:val="1"/>
        </w:numPr>
        <w:outlineLvl w:val="2"/>
        <w:rPr>
          <w:rFonts w:hint="eastAsia"/>
        </w:rPr>
      </w:pPr>
      <w:r>
        <w:rPr>
          <w:rFonts w:hint="eastAsia"/>
        </w:rPr>
        <w:t>推理网关</w:t>
      </w:r>
    </w:p>
    <w:p w14:paraId="35240157">
      <w:pPr>
        <w:pStyle w:val="38"/>
        <w:numPr>
          <w:ilvl w:val="3"/>
          <w:numId w:val="1"/>
        </w:numPr>
        <w:outlineLvl w:val="3"/>
        <w:rPr>
          <w:rFonts w:hint="default" w:ascii="Times New Roman" w:hAnsi="Times New Roman" w:cs="Times New Roman"/>
        </w:rPr>
      </w:pPr>
      <w:commentRangeStart w:id="7"/>
      <w:r>
        <w:rPr>
          <w:rFonts w:hint="eastAsia"/>
          <w:highlight w:val="yellow"/>
        </w:rPr>
        <w:t>推理加速</w:t>
      </w:r>
      <w:commentRangeEnd w:id="7"/>
      <w:r>
        <w:commentReference w:id="7"/>
      </w:r>
    </w:p>
    <w:p w14:paraId="3F9087F7">
      <w:pPr>
        <w:pStyle w:val="38"/>
        <w:numPr>
          <w:ilvl w:val="4"/>
          <w:numId w:val="1"/>
        </w:numPr>
        <w:ind w:left="992" w:leftChars="0" w:hanging="992" w:firstLineChars="0"/>
        <w:outlineLvl w:val="4"/>
        <w:rPr>
          <w:rFonts w:hint="default"/>
          <w:highlight w:val="yellow"/>
        </w:rPr>
      </w:pPr>
      <w:r>
        <w:rPr>
          <w:rFonts w:hint="default"/>
          <w:highlight w:val="yellow"/>
        </w:rPr>
        <w:t>模型量化</w:t>
      </w:r>
    </w:p>
    <w:p w14:paraId="5B749DF6">
      <w:pPr>
        <w:ind w:firstLine="480"/>
        <w:rPr>
          <w:rFonts w:hint="default" w:ascii="Times New Roman" w:hAnsi="Times New Roman" w:cs="Times New Roman"/>
        </w:rPr>
      </w:pPr>
      <w:r>
        <w:rPr>
          <w:rFonts w:hint="default" w:ascii="Times New Roman" w:hAnsi="Times New Roman" w:cs="Times New Roman"/>
        </w:rPr>
        <w:t>模型量化是指以较低的推理精度损失将连续取值（通常为float32或者大量可能的离散值）的浮点型权重近似为有限多个离散值（通常为int8）的过程，如图，T是量化前的数据范围。通过以更少的位数表示浮点数据，模型量化可以减少模型尺寸，进而减少在推理时的内存消耗，并且在一些低精度运算较快的处理器上可以增加推理速度。</w:t>
      </w:r>
    </w:p>
    <w:p w14:paraId="7F0670F2">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3495675" cy="1562100"/>
            <wp:effectExtent l="0" t="0" r="0" b="0"/>
            <wp:docPr id="287" name="图片 133" descr="IMG_256">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133" descr="IMG_256"/>
                    <pic:cNvPicPr>
                      <a:picLocks noChangeAspect="1"/>
                    </pic:cNvPicPr>
                  </pic:nvPicPr>
                  <pic:blipFill>
                    <a:blip r:embed="rId55"/>
                    <a:stretch>
                      <a:fillRect/>
                    </a:stretch>
                  </pic:blipFill>
                  <pic:spPr>
                    <a:xfrm>
                      <a:off x="0" y="0"/>
                      <a:ext cx="3495675" cy="1562100"/>
                    </a:xfrm>
                    <a:prstGeom prst="rect">
                      <a:avLst/>
                    </a:prstGeom>
                    <a:noFill/>
                    <a:ln>
                      <a:noFill/>
                    </a:ln>
                  </pic:spPr>
                </pic:pic>
              </a:graphicData>
            </a:graphic>
          </wp:inline>
        </w:drawing>
      </w:r>
    </w:p>
    <w:p w14:paraId="22103783">
      <w:pPr>
        <w:pStyle w:val="3"/>
        <w:rPr>
          <w:rFonts w:hint="default" w:ascii="Times New Roman" w:hAnsi="Times New Roman" w:eastAsia="宋体" w:cs="Times New Roman"/>
        </w:rPr>
      </w:pPr>
      <w:r>
        <w:rPr>
          <w:rFonts w:hint="default" w:ascii="Times New Roman" w:hAnsi="Times New Roman" w:cs="Times New Roman"/>
        </w:rPr>
        <w:t>图 量化原理</w:t>
      </w:r>
      <w:r>
        <w:rPr>
          <w:rFonts w:hint="default" w:ascii="Times New Roman" w:hAnsi="Times New Roman" w:cs="Times New Roman"/>
        </w:rPr>
        <w:fldChar w:fldCharType="begin"/>
      </w:r>
      <w:r>
        <w:rPr>
          <w:rFonts w:hint="default" w:ascii="Times New Roman" w:hAnsi="Times New Roman" w:cs="Times New Roman"/>
        </w:rPr>
        <w:instrText xml:space="preserve"> HYPERLINK "https://openmlsys.github.io/chapter_model_deployment/model_compression.html" \l "id10" \o "Permalink to this image" </w:instrText>
      </w:r>
      <w:r>
        <w:rPr>
          <w:rFonts w:hint="default" w:ascii="Times New Roman" w:hAnsi="Times New Roman" w:cs="Times New Roman"/>
        </w:rPr>
        <w:fldChar w:fldCharType="separate"/>
      </w:r>
      <w:r>
        <w:rPr>
          <w:rFonts w:hint="default" w:ascii="Times New Roman" w:hAnsi="Times New Roman" w:cs="Times New Roman"/>
        </w:rPr>
        <w:fldChar w:fldCharType="end"/>
      </w:r>
    </w:p>
    <w:p w14:paraId="361A47A8">
      <w:pPr>
        <w:ind w:firstLine="480"/>
        <w:rPr>
          <w:rFonts w:hint="default" w:ascii="Times New Roman" w:hAnsi="Times New Roman" w:cs="Times New Roman"/>
        </w:rPr>
      </w:pPr>
      <w:r>
        <w:rPr>
          <w:rFonts w:hint="default" w:ascii="Times New Roman" w:hAnsi="Times New Roman" w:cs="Times New Roman"/>
        </w:rPr>
        <w:t>计算机中不同数据类型的占用比特数及其表示的数据范围各不相同。可以根据实际业务需求将原模型量化成不同比特数的模型，一般深度神经网络的模型用单精度浮点数表示，如果能用有符号整数来近似原模型的参数，那么被量化的权重参数存储大小就可以降到原先的四分之一，用来量化的比特数越少，量化后的模型压缩率越高。工业界目前最常用的量化位数是8比特，低于8比特的量化被称为低比特量化。1比特是模型压缩的极限，可以将模型压缩为1/32，在推理时也可以使用高效的XNOR和BitCount位运算来提升推理速度。</w:t>
      </w:r>
    </w:p>
    <w:p w14:paraId="7E9DE460">
      <w:pPr>
        <w:ind w:firstLine="480"/>
        <w:rPr>
          <w:rFonts w:hint="default" w:ascii="Times New Roman" w:hAnsi="Times New Roman" w:cs="Times New Roman"/>
        </w:rPr>
      </w:pPr>
      <w:r>
        <w:rPr>
          <w:rFonts w:hint="default" w:ascii="Times New Roman" w:hAnsi="Times New Roman" w:cs="Times New Roman"/>
        </w:rPr>
        <w:t>另外，根据量化数据表示的原始数据范围是否均匀，还可以将量化方法分为线性量化和非线性量化。实际的深度神经网络的权重和激活值通常是不均匀的，因此理论上使用非线性量化导致的精度损失更小，但在实际推理中非线性量化的计算复杂度较高，通常使用线性量化。下面着重介绍线性量化的原理。</w:t>
      </w:r>
    </w:p>
    <w:p w14:paraId="1A0F001E">
      <w:pPr>
        <w:ind w:firstLine="480"/>
        <w:rPr>
          <w:rFonts w:hint="default" w:ascii="Times New Roman" w:hAnsi="Times New Roman" w:cs="Times New Roman"/>
        </w:rPr>
      </w:pPr>
      <w:r>
        <w:rPr>
          <w:rFonts w:hint="default" w:ascii="Times New Roman" w:hAnsi="Times New Roman" w:cs="Times New Roman"/>
        </w:rPr>
        <w:t>假设r表示量化前的浮点数，量化后的整数q可以表示为：</w:t>
      </w:r>
    </w:p>
    <w:p w14:paraId="05F749D2">
      <w:pPr>
        <w:widowControl/>
        <w:kinsoku w:val="0"/>
        <w:autoSpaceDE w:val="0"/>
        <w:autoSpaceDN w:val="0"/>
        <w:adjustRightInd w:val="0"/>
        <w:snapToGrid w:val="0"/>
        <w:spacing w:before="166" w:beforeLines="50" w:after="166" w:afterLines="50"/>
        <w:ind w:firstLine="480"/>
        <w:jc w:val="left"/>
        <w:rPr>
          <w:rFonts w:hint="default" w:ascii="Times New Roman" w:hAnsi="Times New Roman" w:eastAsia="宋体" w:cs="Times New Roman"/>
        </w:rPr>
      </w:pPr>
      <w:r>
        <w:rPr>
          <w:rFonts w:hint="default" w:ascii="Times New Roman" w:hAnsi="Times New Roman" w:eastAsia="宋体" w:cs="Times New Roman"/>
          <w:color w:val="000000"/>
          <w:kern w:val="0"/>
          <w:szCs w:val="21"/>
          <w:lang w:bidi="ar"/>
        </w:rPr>
        <w:drawing>
          <wp:inline distT="0" distB="0" distL="114300" distR="114300">
            <wp:extent cx="4710430" cy="367030"/>
            <wp:effectExtent l="0" t="0" r="13970" b="13970"/>
            <wp:docPr id="278" name="图片 134" descr="1722687607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34" descr="1722687607588"/>
                    <pic:cNvPicPr>
                      <a:picLocks noChangeAspect="1"/>
                    </pic:cNvPicPr>
                  </pic:nvPicPr>
                  <pic:blipFill>
                    <a:blip r:embed="rId56"/>
                    <a:stretch>
                      <a:fillRect/>
                    </a:stretch>
                  </pic:blipFill>
                  <pic:spPr>
                    <a:xfrm>
                      <a:off x="0" y="0"/>
                      <a:ext cx="4710430" cy="367030"/>
                    </a:xfrm>
                    <a:prstGeom prst="rect">
                      <a:avLst/>
                    </a:prstGeom>
                    <a:noFill/>
                    <a:ln>
                      <a:noFill/>
                    </a:ln>
                  </pic:spPr>
                </pic:pic>
              </a:graphicData>
            </a:graphic>
          </wp:inline>
        </w:drawing>
      </w:r>
    </w:p>
    <w:p w14:paraId="3C670DC4">
      <w:pPr>
        <w:ind w:firstLine="480"/>
        <w:rPr>
          <w:rFonts w:hint="default" w:ascii="Times New Roman" w:hAnsi="Times New Roman" w:cs="Times New Roman"/>
        </w:rPr>
      </w:pPr>
      <w:r>
        <w:rPr>
          <w:rFonts w:hint="default" w:ascii="Times New Roman" w:hAnsi="Times New Roman" w:cs="Times New Roman"/>
        </w:rPr>
        <w:t>round(⋅)和clip(⋅)分别表示取整和截断操作，qmin和qmax是量化后的最小值和最大值。s是数据量化的间隔，z是表示数据偏移的偏置，z为0的量化被称为对称（Symmetric）量化，不为0的量化称为非对称（Asymmetric）量化。对称量化可以避免量化算子在推理中计算z相关的部分，降低推理时的计算复杂度；非对称量化可以根据实际数据的分布确定最小值和最小值，可以更加充分的利用量化数据信息，使得量化导致的损失更低。</w:t>
      </w:r>
    </w:p>
    <w:p w14:paraId="5801138B">
      <w:pPr>
        <w:ind w:firstLine="480"/>
        <w:rPr>
          <w:rFonts w:hint="default" w:ascii="Times New Roman" w:hAnsi="Times New Roman" w:cs="Times New Roman"/>
        </w:rPr>
      </w:pPr>
      <w:r>
        <w:rPr>
          <w:rFonts w:hint="default" w:ascii="Times New Roman" w:hAnsi="Times New Roman" w:cs="Times New Roman"/>
        </w:rPr>
        <w:t>根据量化参数s和z的共享范围，量化方法可以分为逐层量化和逐通道量化。逐层量化以一层网络为量化单位，每层网络的一组量化参数；逐通道量化以一层网络的每个量化通道为单位，每个通道单独使用一组量化参数。逐通道量化由于量化粒度更细，能获得更高的量化精度，但计算也更复杂。</w:t>
      </w:r>
    </w:p>
    <w:p w14:paraId="3F58059E">
      <w:pPr>
        <w:ind w:firstLine="480"/>
        <w:rPr>
          <w:rFonts w:hint="default" w:ascii="Times New Roman" w:hAnsi="Times New Roman" w:cs="Times New Roman"/>
        </w:rPr>
      </w:pPr>
      <w:r>
        <w:rPr>
          <w:rFonts w:hint="default" w:ascii="Times New Roman" w:hAnsi="Times New Roman" w:cs="Times New Roman"/>
        </w:rPr>
        <w:t>根据量化过程中是否需要训练，可以将模型量化分为量化感知训练（Quantization Aware Training, QAT）和训练后量化（Post Training Quantization, PTQ）两种,其中感知量化训练是指在模型训练过程中加入伪量化算子，通过训练时统计输入输出的数据范围可以提升量化后模型的精度，适用于对模型精度要求较高的场景；训练后量化指对训练后的模型直接量化，只需要少量校准数据，适用于追求高易用性和缺乏训练资源的场景。</w:t>
      </w:r>
    </w:p>
    <w:p w14:paraId="4FFC1F7C">
      <w:pPr>
        <w:ind w:firstLine="480"/>
        <w:rPr>
          <w:rFonts w:hint="default" w:ascii="Times New Roman" w:hAnsi="Times New Roman" w:cs="Times New Roman"/>
        </w:rPr>
      </w:pPr>
      <w:r>
        <w:rPr>
          <w:rFonts w:hint="default" w:ascii="Times New Roman" w:hAnsi="Times New Roman" w:cs="Times New Roman"/>
        </w:rPr>
        <w:t>一、量化感知训练</w:t>
      </w:r>
      <w:r>
        <w:rPr>
          <w:rFonts w:hint="default" w:ascii="Times New Roman" w:hAnsi="Times New Roman" w:cs="Times New Roman"/>
        </w:rPr>
        <w:fldChar w:fldCharType="begin"/>
      </w:r>
      <w:r>
        <w:rPr>
          <w:rFonts w:hint="default" w:ascii="Times New Roman" w:hAnsi="Times New Roman" w:cs="Times New Roman"/>
        </w:rPr>
        <w:instrText xml:space="preserve"> HYPERLINK "https://openmlsys.github.io/chapter_model_deployment/model_compression.html" \l "id3" \o "Permalink to this headline" </w:instrText>
      </w:r>
      <w:r>
        <w:rPr>
          <w:rFonts w:hint="default" w:ascii="Times New Roman" w:hAnsi="Times New Roman" w:cs="Times New Roman"/>
        </w:rPr>
        <w:fldChar w:fldCharType="separate"/>
      </w:r>
      <w:r>
        <w:rPr>
          <w:rFonts w:hint="default" w:ascii="Times New Roman" w:hAnsi="Times New Roman" w:cs="Times New Roman"/>
        </w:rPr>
        <w:fldChar w:fldCharType="end"/>
      </w:r>
    </w:p>
    <w:p w14:paraId="583EC225">
      <w:pPr>
        <w:ind w:firstLine="480"/>
        <w:rPr>
          <w:rFonts w:hint="default" w:ascii="Times New Roman" w:hAnsi="Times New Roman" w:cs="Times New Roman"/>
        </w:rPr>
      </w:pPr>
      <w:r>
        <w:rPr>
          <w:rFonts w:hint="default" w:ascii="Times New Roman" w:hAnsi="Times New Roman" w:cs="Times New Roman"/>
        </w:rPr>
        <w:t>量化感知训练是在训练过程中模拟量化，利用伪量化算子将量化带来的精度损失计入训练误差，使得优化器能在训练过程中尽量减少量化误差，得到更高的模型精度。量化感知训练的具体流程如下：</w:t>
      </w:r>
    </w:p>
    <w:p w14:paraId="09396668">
      <w:pPr>
        <w:ind w:firstLine="480"/>
        <w:rPr>
          <w:rFonts w:hint="default" w:ascii="Times New Roman" w:hAnsi="Times New Roman" w:cs="Times New Roman"/>
        </w:rPr>
      </w:pPr>
      <w:r>
        <w:rPr>
          <w:rFonts w:hint="default" w:ascii="Times New Roman" w:hAnsi="Times New Roman" w:cs="Times New Roman"/>
        </w:rPr>
        <w:t>初始化：设置权重和激活值的范围qmin和qmax的初始值；</w:t>
      </w:r>
    </w:p>
    <w:p w14:paraId="6CD381E2">
      <w:pPr>
        <w:ind w:firstLine="480"/>
        <w:rPr>
          <w:rFonts w:hint="default" w:ascii="Times New Roman" w:hAnsi="Times New Roman" w:cs="Times New Roman"/>
        </w:rPr>
      </w:pPr>
      <w:r>
        <w:rPr>
          <w:rFonts w:hint="default" w:ascii="Times New Roman" w:hAnsi="Times New Roman" w:cs="Times New Roman"/>
        </w:rPr>
        <w:t>构建模拟量化网络：在需要量化的权重和激活值后插入伪量化算子；</w:t>
      </w:r>
    </w:p>
    <w:p w14:paraId="4D980534">
      <w:pPr>
        <w:ind w:firstLine="480"/>
        <w:rPr>
          <w:rFonts w:hint="default" w:ascii="Times New Roman" w:hAnsi="Times New Roman" w:cs="Times New Roman"/>
        </w:rPr>
      </w:pPr>
      <w:r>
        <w:rPr>
          <w:rFonts w:hint="default" w:ascii="Times New Roman" w:hAnsi="Times New Roman" w:cs="Times New Roman"/>
        </w:rPr>
        <w:t>量化训练：重复执行以下步骤直到网络收敛，计算量化网络层的权重和激活值的范围qmin和qmax，并根据该范围将量化损失带入到前向推理和后向参数更新的过程中；</w:t>
      </w:r>
    </w:p>
    <w:p w14:paraId="67F3705B">
      <w:pPr>
        <w:ind w:firstLine="480"/>
        <w:rPr>
          <w:rFonts w:hint="default" w:ascii="Times New Roman" w:hAnsi="Times New Roman" w:cs="Times New Roman"/>
        </w:rPr>
      </w:pPr>
      <w:r>
        <w:rPr>
          <w:rFonts w:hint="default" w:ascii="Times New Roman" w:hAnsi="Times New Roman" w:cs="Times New Roman"/>
        </w:rPr>
        <w:t>导出量化网络：获取qmin和qmax，并计算量化参数s和z；将量化参数代入量化公式中，转换网络中的权重为量化整数值；删除伪量化算子，在量化网络层前后分别插入量化和反量化算子。</w:t>
      </w:r>
    </w:p>
    <w:p w14:paraId="3D698DCC">
      <w:pPr>
        <w:ind w:firstLine="480"/>
        <w:rPr>
          <w:rFonts w:hint="default" w:ascii="Times New Roman" w:hAnsi="Times New Roman" w:cs="Times New Roman"/>
        </w:rPr>
      </w:pPr>
      <w:r>
        <w:rPr>
          <w:rFonts w:hint="default" w:ascii="Times New Roman" w:hAnsi="Times New Roman" w:cs="Times New Roman"/>
        </w:rPr>
        <w:t>二、训练后量化</w:t>
      </w:r>
      <w:r>
        <w:rPr>
          <w:rFonts w:hint="default" w:ascii="Times New Roman" w:hAnsi="Times New Roman" w:cs="Times New Roman"/>
        </w:rPr>
        <w:fldChar w:fldCharType="begin"/>
      </w:r>
      <w:r>
        <w:rPr>
          <w:rFonts w:hint="default" w:ascii="Times New Roman" w:hAnsi="Times New Roman" w:cs="Times New Roman"/>
        </w:rPr>
        <w:instrText xml:space="preserve"> HYPERLINK "https://openmlsys.github.io/chapter_model_deployment/model_compression.html" \l "id4" \o "Permalink to this headline" </w:instrText>
      </w:r>
      <w:r>
        <w:rPr>
          <w:rFonts w:hint="default" w:ascii="Times New Roman" w:hAnsi="Times New Roman" w:cs="Times New Roman"/>
        </w:rPr>
        <w:fldChar w:fldCharType="separate"/>
      </w:r>
      <w:r>
        <w:rPr>
          <w:rFonts w:hint="default" w:ascii="Times New Roman" w:hAnsi="Times New Roman" w:cs="Times New Roman"/>
        </w:rPr>
        <w:fldChar w:fldCharType="end"/>
      </w:r>
    </w:p>
    <w:p w14:paraId="7888FAE4">
      <w:pPr>
        <w:ind w:firstLine="480"/>
        <w:rPr>
          <w:rFonts w:hint="default" w:ascii="Times New Roman" w:hAnsi="Times New Roman" w:cs="Times New Roman"/>
        </w:rPr>
      </w:pPr>
      <w:r>
        <w:rPr>
          <w:rFonts w:hint="default" w:ascii="Times New Roman" w:hAnsi="Times New Roman" w:cs="Times New Roman"/>
        </w:rPr>
        <w:t>训练后量化也可以分成两种，权重量化和全量化。权重量化仅量化模型的权重以压缩模型的大小，在推理时将权重反量化为原始的float32数据，后续推理流程与普通的float32模型一致。权重量化的好处是不需要校准数据集，不需要实现量化算子，且模型的精度误差较小，由于实际推理使用的仍然是float32算子，所以推理性能不会提高。全量化不仅会量化模型的权重，还会量化模型的激活值，在模型推理时执行量化算子来加快模型的推理速度。为了量化激活值，需要用户提供一定数量的校准数据集用于统计每一层激活值的分布，并对量化后的算子做校准。校准数据集可以来自训练数据集或者真实场景的输入数据，需要数量通常非常小。在量化激活值时会以校准数据集为输入，执行推理流程然后统计每层激活值的数据分布并得到相应的量化参数，具体的操作流程如下：</w:t>
      </w:r>
    </w:p>
    <w:p w14:paraId="492CEB05">
      <w:pPr>
        <w:ind w:firstLine="480"/>
        <w:rPr>
          <w:rFonts w:hint="default" w:ascii="Times New Roman" w:hAnsi="Times New Roman" w:cs="Times New Roman"/>
        </w:rPr>
      </w:pPr>
      <w:r>
        <w:rPr>
          <w:rFonts w:hint="default" w:ascii="Times New Roman" w:hAnsi="Times New Roman" w:cs="Times New Roman"/>
        </w:rPr>
        <w:t>使用直方图统计的方式得到原始float32数据的统计分布Pf；</w:t>
      </w:r>
    </w:p>
    <w:p w14:paraId="7F264642">
      <w:pPr>
        <w:ind w:firstLine="480"/>
        <w:rPr>
          <w:rFonts w:hint="default" w:ascii="Times New Roman" w:hAnsi="Times New Roman" w:cs="Times New Roman"/>
        </w:rPr>
      </w:pPr>
      <w:r>
        <w:rPr>
          <w:rFonts w:hint="default" w:ascii="Times New Roman" w:hAnsi="Times New Roman" w:cs="Times New Roman"/>
        </w:rPr>
        <w:t>在给定的搜索空间中选取若干个qmin和qmax分别对激活值量化，得到量化后的数据Qq；</w:t>
      </w:r>
    </w:p>
    <w:p w14:paraId="1D342F94">
      <w:pPr>
        <w:ind w:firstLine="480"/>
        <w:rPr>
          <w:rFonts w:hint="default" w:ascii="Times New Roman" w:hAnsi="Times New Roman" w:cs="Times New Roman"/>
        </w:rPr>
      </w:pPr>
      <w:r>
        <w:rPr>
          <w:rFonts w:hint="default" w:ascii="Times New Roman" w:hAnsi="Times New Roman" w:cs="Times New Roman"/>
        </w:rPr>
        <w:t>使用直方图统计得到Qq的统计分布;</w:t>
      </w:r>
    </w:p>
    <w:p w14:paraId="467BE995">
      <w:pPr>
        <w:ind w:firstLine="480"/>
        <w:rPr>
          <w:rFonts w:hint="default" w:ascii="Times New Roman" w:hAnsi="Times New Roman" w:cs="Times New Roman"/>
        </w:rPr>
      </w:pPr>
      <w:r>
        <w:rPr>
          <w:rFonts w:hint="default" w:ascii="Times New Roman" w:hAnsi="Times New Roman" w:cs="Times New Roman"/>
        </w:rPr>
        <w:t>计算每个Qq与Pf的统计分布差异，并找到差异性最低的一个对应的qmin和qmax来计算相应的量化参数，常见的用于度量分布差异的指标包括KL散度(Kullback-Leibler Divergence)、对称KL散度(Symmetric Kullback-Leibler Divergence)和JS散度(Jenson-Shannon Divergence)。</w:t>
      </w:r>
    </w:p>
    <w:p w14:paraId="78FE1B11">
      <w:pPr>
        <w:ind w:firstLine="480"/>
        <w:rPr>
          <w:rFonts w:hint="default" w:ascii="Times New Roman" w:hAnsi="Times New Roman" w:cs="Times New Roman"/>
        </w:rPr>
      </w:pPr>
      <w:r>
        <w:rPr>
          <w:rFonts w:hint="default" w:ascii="Times New Roman" w:hAnsi="Times New Roman" w:cs="Times New Roman"/>
        </w:rPr>
        <w:t>除此之外，由于量化存在固有误差，还需要校正量化误差。以矩阵乘为例，a=∑i=1Nwixi+b，w表示权重，x表示激活值，b表示偏置。首先需要对量化的均值做校正，对float32算子和量化算子输出的每个通道求平均，假设某个通道i的float32算子输出均值为ai，量化算子反量化输出均值为aqi，将这个通道两个均值的差ai−aq加到对应的通道上即可使得最终的输出均值和float32一致。另外还需要保证量化后的分布和量化前是一致的，设某个通道权重数据的均值、方差为E(wc)、||wc−E(wc)||，量化后的均值和方差为E(wc^)、||wc^−E(wc^)||，对权重如下校正：</w:t>
      </w:r>
    </w:p>
    <w:p w14:paraId="4F9822AF">
      <w:pPr>
        <w:pStyle w:val="3"/>
        <w:rPr>
          <w:rFonts w:hint="default" w:ascii="Times New Roman" w:hAnsi="Times New Roman" w:eastAsia="宋体" w:cs="Times New Roman"/>
        </w:rPr>
      </w:pPr>
      <w:r>
        <w:rPr>
          <w:rFonts w:hint="default" w:ascii="Times New Roman" w:hAnsi="Times New Roman" w:eastAsia="宋体" w:cs="Times New Roman"/>
          <w:color w:val="000000"/>
          <w:kern w:val="0"/>
          <w:szCs w:val="21"/>
          <w:lang w:bidi="ar"/>
        </w:rPr>
        <w:drawing>
          <wp:inline distT="0" distB="0" distL="114300" distR="114300">
            <wp:extent cx="4705350" cy="838200"/>
            <wp:effectExtent l="0" t="0" r="3810" b="0"/>
            <wp:docPr id="288" name="图片 135" descr="1722687688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135" descr="1722687688761"/>
                    <pic:cNvPicPr>
                      <a:picLocks noChangeAspect="1"/>
                    </pic:cNvPicPr>
                  </pic:nvPicPr>
                  <pic:blipFill>
                    <a:blip r:embed="rId57"/>
                    <a:stretch>
                      <a:fillRect/>
                    </a:stretch>
                  </pic:blipFill>
                  <pic:spPr>
                    <a:xfrm>
                      <a:off x="0" y="0"/>
                      <a:ext cx="4705350" cy="838200"/>
                    </a:xfrm>
                    <a:prstGeom prst="rect">
                      <a:avLst/>
                    </a:prstGeom>
                    <a:noFill/>
                    <a:ln>
                      <a:noFill/>
                    </a:ln>
                  </pic:spPr>
                </pic:pic>
              </a:graphicData>
            </a:graphic>
          </wp:inline>
        </w:drawing>
      </w:r>
    </w:p>
    <w:p w14:paraId="3A756495">
      <w:pPr>
        <w:ind w:firstLine="480"/>
        <w:rPr>
          <w:rFonts w:hint="default" w:ascii="Times New Roman" w:hAnsi="Times New Roman" w:cs="Times New Roman"/>
        </w:rPr>
      </w:pPr>
      <w:r>
        <w:rPr>
          <w:rFonts w:hint="default" w:ascii="Times New Roman" w:hAnsi="Times New Roman" w:cs="Times New Roman"/>
        </w:rPr>
        <w:t>量化方法作为一种通用的模型压缩方法，可以大幅提升神经网络存储和压缩的效率，已经取得了广泛的应用。</w:t>
      </w:r>
    </w:p>
    <w:p w14:paraId="4AD2DEA4">
      <w:pPr>
        <w:pStyle w:val="38"/>
        <w:numPr>
          <w:ilvl w:val="4"/>
          <w:numId w:val="1"/>
        </w:numPr>
        <w:ind w:left="992" w:leftChars="0" w:hanging="992" w:firstLineChars="0"/>
        <w:outlineLvl w:val="4"/>
        <w:rPr>
          <w:rFonts w:hint="default"/>
          <w:highlight w:val="yellow"/>
        </w:rPr>
      </w:pPr>
      <w:r>
        <w:rPr>
          <w:rFonts w:hint="default"/>
          <w:highlight w:val="yellow"/>
        </w:rPr>
        <w:t>推理加速框架</w:t>
      </w:r>
    </w:p>
    <w:p w14:paraId="5637AF78">
      <w:pPr>
        <w:ind w:firstLine="480"/>
        <w:rPr>
          <w:rFonts w:hint="default" w:ascii="Times New Roman" w:hAnsi="Times New Roman" w:cs="Times New Roman"/>
        </w:rPr>
      </w:pPr>
      <w:r>
        <w:rPr>
          <w:rFonts w:hint="default" w:ascii="Times New Roman" w:hAnsi="Times New Roman" w:cs="Times New Roman"/>
        </w:rPr>
        <w:t>支持多种推理加速框架，典型框架如vLLM， vLLM的核心是 PagedAttention，其灵感来自传统操作系统概念，例如分页和虚拟内存。 它们通过在固定大小的“页面”或块中分配内存，允许 KV 缓存变得不连续。 然后可以重写 attention 机制以对块对齐的输入进行操作，从而允许在非连续的内存范围上执行 attention 。</w:t>
      </w:r>
    </w:p>
    <w:p w14:paraId="545BE479">
      <w:pPr>
        <w:ind w:firstLine="480"/>
        <w:rPr>
          <w:rFonts w:hint="default" w:ascii="Times New Roman" w:hAnsi="Times New Roman" w:cs="Times New Roman"/>
        </w:rPr>
      </w:pPr>
      <w:r>
        <w:rPr>
          <w:rFonts w:hint="default" w:ascii="Times New Roman" w:hAnsi="Times New Roman" w:cs="Times New Roman"/>
        </w:rPr>
        <w:t>这意味着 cache 分配可以 just-in-time，而不是 ahead-of-time：当启动一个新的生成任务时，框架不需要分配大小为 Maximum_context_length 的连续 cache。 每次迭代，调度程序都可以决定特定生成任务是否需要更多空间，并动态分配，而不会降低 PagedAttention 的性能。 这并不能保证内存的完美利用（浪费现在限制在 4% 以下，仅在最后一个块中），但它明显改善了当今业界广泛使用的提前分配方案的浪费 。</w:t>
      </w:r>
    </w:p>
    <w:p w14:paraId="076FD380">
      <w:pPr>
        <w:ind w:firstLine="480"/>
        <w:rPr>
          <w:rFonts w:hint="default" w:ascii="Times New Roman" w:hAnsi="Times New Roman" w:cs="Times New Roman"/>
        </w:rPr>
      </w:pPr>
      <w:r>
        <w:rPr>
          <w:rFonts w:hint="default" w:ascii="Times New Roman" w:hAnsi="Times New Roman" w:cs="Times New Roman"/>
        </w:rPr>
        <w:t>总而言之，PagedAttention + vLLM 可节省大量内存，因为大多数序列不会消耗整个上下文窗口。 这些内存节省直接转化为更高的 Batch 大小，这意味着更高的吞吐量和更便宜的服务。</w:t>
      </w:r>
    </w:p>
    <w:p w14:paraId="4A9E44A2">
      <w:pPr>
        <w:ind w:firstLine="480"/>
        <w:rPr>
          <w:rFonts w:hint="default" w:ascii="Times New Roman" w:hAnsi="Times New Roman" w:cs="Times New Roman"/>
        </w:rPr>
      </w:pPr>
      <w:r>
        <w:rPr>
          <w:rFonts w:hint="default" w:ascii="Times New Roman" w:hAnsi="Times New Roman" w:cs="Times New Roman"/>
        </w:rPr>
        <w:t>实验表明，该方法相比于静态 Batch 与其他动态 Batch 的方法吞吐性能提升明显。</w:t>
      </w:r>
    </w:p>
    <w:p w14:paraId="0A14713B">
      <w:pPr>
        <w:ind w:firstLine="480"/>
        <w:rPr>
          <w:rFonts w:hint="default" w:ascii="Times New Roman" w:hAnsi="Times New Roman" w:cs="Times New Roman"/>
        </w:rPr>
      </w:pPr>
      <w:r>
        <w:rPr>
          <w:rFonts w:hint="default" w:ascii="Times New Roman" w:hAnsi="Times New Roman" w:cs="Times New Roman"/>
        </w:rPr>
        <w:t>vLLM 具有诸多特点，其快速体现在:</w:t>
      </w:r>
    </w:p>
    <w:p w14:paraId="12961711">
      <w:pPr>
        <w:ind w:firstLine="480"/>
        <w:rPr>
          <w:rFonts w:hint="default" w:ascii="Times New Roman" w:hAnsi="Times New Roman" w:cs="Times New Roman"/>
        </w:rPr>
      </w:pPr>
      <w:r>
        <w:rPr>
          <w:rFonts w:hint="default" w:ascii="Times New Roman" w:hAnsi="Times New Roman" w:cs="Times New Roman"/>
        </w:rPr>
        <w:t>最好的服务吞吐性能</w:t>
      </w:r>
    </w:p>
    <w:p w14:paraId="2327B0B5">
      <w:pPr>
        <w:ind w:firstLine="480"/>
        <w:rPr>
          <w:rFonts w:hint="default" w:ascii="Times New Roman" w:hAnsi="Times New Roman" w:cs="Times New Roman"/>
        </w:rPr>
      </w:pPr>
      <w:r>
        <w:rPr>
          <w:rFonts w:hint="default" w:ascii="Times New Roman" w:hAnsi="Times New Roman" w:cs="Times New Roman"/>
        </w:rPr>
        <w:t>使用 PagedAttention 优化 KV cache 内存管理</w:t>
      </w:r>
    </w:p>
    <w:p w14:paraId="1C713937">
      <w:pPr>
        <w:ind w:firstLine="480"/>
        <w:rPr>
          <w:rFonts w:hint="default" w:ascii="Times New Roman" w:hAnsi="Times New Roman" w:cs="Times New Roman"/>
        </w:rPr>
      </w:pPr>
      <w:r>
        <w:rPr>
          <w:rFonts w:hint="default" w:ascii="Times New Roman" w:hAnsi="Times New Roman" w:cs="Times New Roman"/>
        </w:rPr>
        <w:t>动态 batch</w:t>
      </w:r>
    </w:p>
    <w:p w14:paraId="767CFF95">
      <w:pPr>
        <w:ind w:firstLine="480"/>
        <w:rPr>
          <w:rFonts w:hint="default" w:ascii="Times New Roman" w:hAnsi="Times New Roman" w:cs="Times New Roman"/>
        </w:rPr>
      </w:pPr>
      <w:r>
        <w:rPr>
          <w:rFonts w:hint="default" w:ascii="Times New Roman" w:hAnsi="Times New Roman" w:cs="Times New Roman"/>
        </w:rPr>
        <w:t>优化的 CUDA kernels</w:t>
      </w:r>
    </w:p>
    <w:p w14:paraId="427F0ABD">
      <w:pPr>
        <w:ind w:firstLine="480"/>
        <w:rPr>
          <w:rFonts w:hint="default" w:ascii="Times New Roman" w:hAnsi="Times New Roman" w:cs="Times New Roman"/>
        </w:rPr>
      </w:pPr>
      <w:r>
        <w:rPr>
          <w:rFonts w:hint="default" w:ascii="Times New Roman" w:hAnsi="Times New Roman" w:cs="Times New Roman"/>
        </w:rPr>
        <w:t>其易用性体现在:</w:t>
      </w:r>
    </w:p>
    <w:p w14:paraId="32FBB4D4">
      <w:pPr>
        <w:ind w:firstLine="480"/>
        <w:rPr>
          <w:rFonts w:hint="default" w:ascii="Times New Roman" w:hAnsi="Times New Roman" w:cs="Times New Roman"/>
        </w:rPr>
      </w:pPr>
      <w:r>
        <w:rPr>
          <w:rFonts w:hint="default" w:ascii="Times New Roman" w:hAnsi="Times New Roman" w:cs="Times New Roman"/>
        </w:rPr>
        <w:t>与 HuggingFace 模型无缝集成（目前支持GPT2, GPTNeo, LLaMA, OPT 系列）</w:t>
      </w:r>
    </w:p>
    <w:p w14:paraId="252014D2">
      <w:pPr>
        <w:ind w:firstLine="480"/>
        <w:rPr>
          <w:rFonts w:hint="default" w:ascii="Times New Roman" w:hAnsi="Times New Roman" w:cs="Times New Roman"/>
        </w:rPr>
      </w:pPr>
      <w:r>
        <w:rPr>
          <w:rFonts w:hint="default" w:ascii="Times New Roman" w:hAnsi="Times New Roman" w:cs="Times New Roman"/>
        </w:rPr>
        <w:t>高吞吐量服务与各种 decoder 算法，包括并行采样、beam search 等</w:t>
      </w:r>
    </w:p>
    <w:p w14:paraId="547A3D40">
      <w:pPr>
        <w:ind w:firstLine="480"/>
        <w:rPr>
          <w:rFonts w:hint="default" w:ascii="Times New Roman" w:hAnsi="Times New Roman" w:cs="Times New Roman"/>
        </w:rPr>
      </w:pPr>
      <w:r>
        <w:rPr>
          <w:rFonts w:hint="default" w:ascii="Times New Roman" w:hAnsi="Times New Roman" w:cs="Times New Roman"/>
        </w:rPr>
        <w:t>张量并行(TP)以支持分布式推理流输出</w:t>
      </w:r>
    </w:p>
    <w:p w14:paraId="28163D4B">
      <w:pPr>
        <w:ind w:firstLine="480"/>
        <w:rPr>
          <w:rFonts w:hint="default" w:ascii="Times New Roman" w:hAnsi="Times New Roman" w:cs="Times New Roman"/>
        </w:rPr>
      </w:pPr>
      <w:r>
        <w:rPr>
          <w:rFonts w:hint="default" w:ascii="Times New Roman" w:hAnsi="Times New Roman" w:cs="Times New Roman"/>
        </w:rPr>
        <w:t>兼容 OpenAI 的 API 服务</w:t>
      </w:r>
    </w:p>
    <w:p w14:paraId="365FCF6F">
      <w:pPr>
        <w:ind w:firstLine="480"/>
        <w:rPr>
          <w:rFonts w:hint="default" w:ascii="Times New Roman" w:hAnsi="Times New Roman" w:cs="Times New Roman"/>
        </w:rPr>
      </w:pPr>
      <w:r>
        <w:rPr>
          <w:rFonts w:hint="default" w:ascii="Times New Roman" w:hAnsi="Times New Roman" w:cs="Times New Roman"/>
        </w:rPr>
        <w:t>Hugging Face是一个专注于自然语言处理（NLP）和其他人工智能领域的开源库，Hugging Face的核心产品包括Transformers库，它包含了上千个预训练模型，这些模型可以用于各种NLP任务，如文本分类、问答、翻译、文本摘要和文本生成等。此外，Hugging Face还提供了Datasets库，用于数据集的下载和预处理，以及Tokenizers库，用于高效的文本分词。</w:t>
      </w:r>
    </w:p>
    <w:p w14:paraId="0301C0E9">
      <w:pPr>
        <w:ind w:firstLine="480"/>
        <w:rPr>
          <w:rFonts w:hint="default" w:ascii="Times New Roman" w:hAnsi="Times New Roman" w:cs="Times New Roman"/>
        </w:rPr>
      </w:pPr>
      <w:r>
        <w:rPr>
          <w:rFonts w:hint="default" w:ascii="Times New Roman" w:hAnsi="Times New Roman" w:cs="Times New Roman"/>
        </w:rPr>
        <w:t>Hugging Face的推理引擎支持多种硬件资源，包括英伟达的高端消费级显卡，如GeForce RTX 3090，以及支持国产化的910B芯片。这种跨平台的支持使得Hugging Face的模型可以在不同的硬件上运行，从而满足不同用户的需求。对于推理算力，Hugging Face提供了多种解决方案，包括在Hugging Face Hub上的模型推理小组件，用户可以通过这个小组件快速测试模型的性能。</w:t>
      </w:r>
    </w:p>
    <w:p w14:paraId="0C4DBC20">
      <w:pPr>
        <w:ind w:firstLine="480"/>
        <w:rPr>
          <w:rFonts w:hint="default" w:ascii="Times New Roman" w:hAnsi="Times New Roman" w:cs="Times New Roman"/>
        </w:rPr>
      </w:pPr>
      <w:r>
        <w:rPr>
          <w:rFonts w:hint="default" w:ascii="Times New Roman" w:hAnsi="Times New Roman" w:cs="Times New Roman"/>
        </w:rPr>
        <w:t>此外，Hugging Face还提供了推理API和推理端点，这些服务允许用户在生产环境中部署模型，并提供了不同级别的安全性和可扩展性。推理API适用于开发和测试阶段，而推理端点则适合生产环境的部署。用户可以根据自己的需求选择合适的服务，并在Hugging Face平台上轻松地进行模型的部署和管理。</w:t>
      </w:r>
    </w:p>
    <w:p w14:paraId="0A22FB12">
      <w:pPr>
        <w:pStyle w:val="38"/>
        <w:numPr>
          <w:ilvl w:val="4"/>
          <w:numId w:val="1"/>
        </w:numPr>
        <w:ind w:left="992" w:leftChars="0" w:hanging="992" w:firstLineChars="0"/>
        <w:outlineLvl w:val="4"/>
        <w:rPr>
          <w:rFonts w:hint="default"/>
          <w:highlight w:val="yellow"/>
        </w:rPr>
      </w:pPr>
      <w:r>
        <w:rPr>
          <w:rFonts w:hint="eastAsia"/>
          <w:highlight w:val="yellow"/>
        </w:rPr>
        <w:t>模型参数优化</w:t>
      </w:r>
    </w:p>
    <w:p w14:paraId="238CB950">
      <w:pPr>
        <w:ind w:firstLine="480"/>
        <w:rPr>
          <w:rFonts w:hint="default" w:ascii="Times New Roman" w:hAnsi="Times New Roman" w:cs="Times New Roman"/>
        </w:rPr>
      </w:pPr>
    </w:p>
    <w:p w14:paraId="689EBDE4">
      <w:pPr>
        <w:pStyle w:val="45"/>
        <w:bidi w:val="0"/>
        <w:rPr>
          <w:rFonts w:hint="eastAsia"/>
        </w:rPr>
      </w:pPr>
    </w:p>
    <w:p w14:paraId="14A819FA">
      <w:pPr>
        <w:pStyle w:val="38"/>
        <w:numPr>
          <w:ilvl w:val="3"/>
          <w:numId w:val="1"/>
        </w:numPr>
        <w:outlineLvl w:val="3"/>
        <w:rPr>
          <w:rFonts w:hint="eastAsia"/>
        </w:rPr>
      </w:pPr>
      <w:r>
        <w:rPr>
          <w:rFonts w:hint="eastAsia"/>
        </w:rPr>
        <w:t>模型部署</w:t>
      </w:r>
    </w:p>
    <w:p w14:paraId="264554A4">
      <w:pPr>
        <w:pStyle w:val="38"/>
        <w:numPr>
          <w:ilvl w:val="4"/>
          <w:numId w:val="1"/>
        </w:numPr>
        <w:ind w:left="992" w:leftChars="0" w:hanging="992" w:firstLineChars="0"/>
        <w:outlineLvl w:val="4"/>
        <w:rPr>
          <w:rFonts w:hint="default"/>
        </w:rPr>
      </w:pPr>
      <w:r>
        <w:rPr>
          <w:rFonts w:hint="default"/>
        </w:rPr>
        <w:t>在线推理服务部署</w:t>
      </w:r>
    </w:p>
    <w:p w14:paraId="0245EAD1">
      <w:pPr>
        <w:ind w:firstLine="480"/>
        <w:rPr>
          <w:rFonts w:hint="default" w:ascii="Times New Roman" w:hAnsi="Times New Roman" w:cs="Times New Roman"/>
        </w:rPr>
      </w:pPr>
      <w:r>
        <w:rPr>
          <w:rFonts w:hint="default" w:ascii="Times New Roman" w:hAnsi="Times New Roman" w:cs="Times New Roman"/>
        </w:rPr>
        <w:t>在线推理部署用于支持高实效性业务支撑，对秒级别推理场景具备低延时推理支撑能力，适用于时序敏感的、毫秒级的任务推理需求。</w:t>
      </w:r>
    </w:p>
    <w:p w14:paraId="305776FA">
      <w:pPr>
        <w:ind w:firstLine="480"/>
        <w:rPr>
          <w:rFonts w:hint="default" w:ascii="Times New Roman" w:hAnsi="Times New Roman" w:cs="Times New Roman"/>
        </w:rPr>
      </w:pPr>
      <w:r>
        <w:rPr>
          <w:rFonts w:hint="default" w:ascii="Times New Roman" w:hAnsi="Times New Roman" w:cs="Times New Roman"/>
        </w:rPr>
        <w:t>在线推理服务将训练好的模型或外部导入的模型运行在推理环境中，通过HTTP协议经由ai-gateway网关代理对外提供服务。ai-gateway负责负载均衡、鉴权、调用统计等功能。本系统能够根据配置，将模型、推理框架和环境依赖组合构建为推理镜像，并调用容器平台的RESTful API接口，配置服务所需的计算资源（如CPU、GPU、内存）、环境变量、启动命令和健康检查等。容器平台根据配额智能调度服务到合适节点，并通过消息传递推理服务的生命周期状态（创建、启动、失败、停止）至前端。平台支持一站式推理部署，允许选择不同的模型引擎、框架和加速器镜像版本，能够根据大模型参数规格推荐合适的算力资源，并动态调整常用参数，如MaxToken、张量并行数和显存利用率。平台还支持在国产化芯片上进行推理，支持多卡部署。</w:t>
      </w:r>
    </w:p>
    <w:p w14:paraId="77764F9F">
      <w:pPr>
        <w:ind w:firstLine="480"/>
        <w:rPr>
          <w:rFonts w:hint="default" w:ascii="Times New Roman" w:hAnsi="Times New Roman" w:cs="Times New Roman"/>
        </w:rPr>
      </w:pPr>
      <w:r>
        <w:rPr>
          <w:rFonts w:hint="default" w:ascii="Times New Roman" w:hAnsi="Times New Roman" w:cs="Times New Roman"/>
        </w:rPr>
        <w:t>支持用户通过模型或推理镜像方式部署在线推理服务并对其进行管理，包括对服务的启动、停止、扩所容、规格调整等。</w:t>
      </w:r>
    </w:p>
    <w:p w14:paraId="05293DF2">
      <w:pPr>
        <w:ind w:firstLine="480"/>
        <w:rPr>
          <w:rFonts w:hint="default" w:ascii="Times New Roman" w:hAnsi="Times New Roman" w:cs="Times New Roman"/>
        </w:rPr>
      </w:pPr>
      <w:r>
        <w:rPr>
          <w:rFonts w:hint="default" w:ascii="Times New Roman" w:hAnsi="Times New Roman" w:cs="Times New Roman"/>
        </w:rPr>
        <w:t>在线推理部署服务列表管理：可视化管理在线推理服务，包括新增、删除、修改、列表查看等等。</w:t>
      </w:r>
    </w:p>
    <w:p w14:paraId="768A46D8">
      <w:pPr>
        <w:ind w:firstLine="480"/>
        <w:rPr>
          <w:rFonts w:hint="default" w:ascii="Times New Roman" w:hAnsi="Times New Roman" w:cs="Times New Roman"/>
        </w:rPr>
      </w:pPr>
      <w:r>
        <w:rPr>
          <w:rFonts w:hint="default" w:ascii="Times New Roman" w:hAnsi="Times New Roman" w:cs="Times New Roman"/>
        </w:rPr>
        <w:t>在线推理部署服务配置：提供可视化的在线推理服务配置功能，包括模型选择配置、基础信息、资源配置、API配置、服务使用的模型镜像、需要的资源以及其他与服务启动相关的参数。</w:t>
      </w:r>
    </w:p>
    <w:p w14:paraId="1896D9EE">
      <w:pPr>
        <w:ind w:firstLine="480"/>
        <w:rPr>
          <w:rFonts w:hint="default" w:ascii="Times New Roman" w:hAnsi="Times New Roman" w:cs="Times New Roman"/>
        </w:rPr>
      </w:pPr>
      <w:r>
        <w:rPr>
          <w:rFonts w:hint="default" w:ascii="Times New Roman" w:hAnsi="Times New Roman" w:cs="Times New Roman"/>
        </w:rPr>
        <w:t>在线推理部署服务维护：可视化维护已经启动的在线推理服务，包括在线升级、停止、扩缩容、流量控制等等。</w:t>
      </w:r>
    </w:p>
    <w:p w14:paraId="2B6F8A5E">
      <w:pPr>
        <w:ind w:firstLine="480"/>
        <w:rPr>
          <w:rFonts w:hint="default" w:ascii="Times New Roman" w:hAnsi="Times New Roman" w:cs="Times New Roman"/>
        </w:rPr>
      </w:pPr>
      <w:r>
        <w:rPr>
          <w:rFonts w:hint="default" w:ascii="Times New Roman" w:hAnsi="Times New Roman" w:cs="Times New Roman"/>
        </w:rPr>
        <w:t>在线推理部署服务监控：支持查看部署日志信息，包括事件日志、部署日志、容器日志等，监控在线推理服务的运行状态、日志以及每次请求的详细信息等。</w:t>
      </w:r>
    </w:p>
    <w:p w14:paraId="0C4946AD">
      <w:pPr>
        <w:ind w:firstLine="480"/>
        <w:rPr>
          <w:rFonts w:hint="default" w:ascii="Times New Roman" w:hAnsi="Times New Roman" w:eastAsia="宋体" w:cs="Times New Roman"/>
          <w:color w:val="000000"/>
          <w:szCs w:val="24"/>
        </w:rPr>
      </w:pPr>
      <w:r>
        <w:rPr>
          <w:rFonts w:hint="default" w:ascii="Times New Roman" w:hAnsi="Times New Roman" w:cs="Times New Roman"/>
        </w:rPr>
        <w:t>自定义业务码解析规则：支持自定义在线推理服务中的业务码解析规则，根据不同服务的业务需求，由开发者自行定义匹配。</w:t>
      </w:r>
    </w:p>
    <w:p w14:paraId="1047928A">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6850" cy="5372100"/>
            <wp:effectExtent l="0" t="0" r="11430" b="7620"/>
            <wp:docPr id="1290" name="图片 3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 name="图片 344" descr="图示&#10;&#10;描述已自动生成"/>
                    <pic:cNvPicPr>
                      <a:picLocks noChangeAspect="1"/>
                    </pic:cNvPicPr>
                  </pic:nvPicPr>
                  <pic:blipFill>
                    <a:blip r:embed="rId58"/>
                    <a:stretch>
                      <a:fillRect/>
                    </a:stretch>
                  </pic:blipFill>
                  <pic:spPr>
                    <a:xfrm>
                      <a:off x="0" y="0"/>
                      <a:ext cx="5276850" cy="5372100"/>
                    </a:xfrm>
                    <a:prstGeom prst="rect">
                      <a:avLst/>
                    </a:prstGeom>
                    <a:noFill/>
                    <a:ln>
                      <a:noFill/>
                    </a:ln>
                  </pic:spPr>
                </pic:pic>
              </a:graphicData>
            </a:graphic>
          </wp:inline>
        </w:drawing>
      </w:r>
    </w:p>
    <w:p w14:paraId="2854F5F3">
      <w:pPr>
        <w:pStyle w:val="3"/>
        <w:rPr>
          <w:rFonts w:hint="default" w:ascii="Times New Roman" w:hAnsi="Times New Roman" w:cs="Times New Roman"/>
        </w:rPr>
      </w:pPr>
      <w:r>
        <w:rPr>
          <w:rFonts w:hint="default" w:ascii="Times New Roman" w:hAnsi="Times New Roman" w:cs="Times New Roman"/>
        </w:rPr>
        <w:t>在线推理服务流程图</w:t>
      </w:r>
    </w:p>
    <w:p w14:paraId="6BA3D49F">
      <w:pPr>
        <w:pStyle w:val="9"/>
        <w:numPr>
          <w:ilvl w:val="5"/>
          <w:numId w:val="1"/>
        </w:numPr>
        <w:bidi w:val="0"/>
        <w:rPr>
          <w:rFonts w:hint="default"/>
        </w:rPr>
      </w:pPr>
      <w:r>
        <w:rPr>
          <w:rFonts w:hint="default"/>
        </w:rPr>
        <w:t>推理部署列表管理</w:t>
      </w:r>
    </w:p>
    <w:p w14:paraId="17155D53">
      <w:pPr>
        <w:ind w:firstLine="480"/>
        <w:rPr>
          <w:rFonts w:hint="default" w:ascii="Times New Roman" w:hAnsi="Times New Roman" w:cs="Times New Roman"/>
        </w:rPr>
      </w:pPr>
      <w:r>
        <w:rPr>
          <w:rFonts w:hint="default" w:ascii="Times New Roman" w:hAnsi="Times New Roman" w:cs="Times New Roman"/>
        </w:rPr>
        <w:t>供用户通过模型或推理镜像方式部署在线推理服务并对其进行管理，包括对服务的启动、停止、</w:t>
      </w:r>
      <w:r>
        <w:rPr>
          <w:rFonts w:hint="eastAsia" w:ascii="Times New Roman" w:hAnsi="Times New Roman" w:cs="Times New Roman"/>
          <w:lang w:val="en-US" w:eastAsia="zh-CN"/>
        </w:rPr>
        <w:t>扩缩容</w:t>
      </w:r>
      <w:r>
        <w:rPr>
          <w:rFonts w:hint="default" w:ascii="Times New Roman" w:hAnsi="Times New Roman" w:cs="Times New Roman"/>
        </w:rPr>
        <w:t>、规格调整等。</w:t>
      </w:r>
    </w:p>
    <w:p w14:paraId="3BEDBD41">
      <w:pPr>
        <w:ind w:firstLine="480"/>
        <w:rPr>
          <w:rFonts w:hint="default" w:ascii="Times New Roman" w:hAnsi="Times New Roman" w:cs="Times New Roman"/>
        </w:rPr>
      </w:pPr>
      <w:r>
        <w:rPr>
          <w:rFonts w:hint="default" w:ascii="Times New Roman" w:hAnsi="Times New Roman" w:cs="Times New Roman"/>
        </w:rPr>
        <w:t>可视化管理在线推理服务，包括新增、删除、修改、列表查看等等。</w:t>
      </w:r>
    </w:p>
    <w:p w14:paraId="4D160135">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81930" cy="4305300"/>
            <wp:effectExtent l="0" t="0" r="6350" b="7620"/>
            <wp:docPr id="1294" name="图片 279"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图片 279" descr="图形用户界面, 应用程序&#10;&#10;描述已自动生成"/>
                    <pic:cNvPicPr>
                      <a:picLocks noChangeAspect="1"/>
                    </pic:cNvPicPr>
                  </pic:nvPicPr>
                  <pic:blipFill>
                    <a:blip r:embed="rId59"/>
                    <a:srcRect t="6721"/>
                    <a:stretch>
                      <a:fillRect/>
                    </a:stretch>
                  </pic:blipFill>
                  <pic:spPr>
                    <a:xfrm>
                      <a:off x="0" y="0"/>
                      <a:ext cx="5281930" cy="4305300"/>
                    </a:xfrm>
                    <a:prstGeom prst="rect">
                      <a:avLst/>
                    </a:prstGeom>
                    <a:noFill/>
                    <a:ln>
                      <a:noFill/>
                    </a:ln>
                  </pic:spPr>
                </pic:pic>
              </a:graphicData>
            </a:graphic>
          </wp:inline>
        </w:drawing>
      </w:r>
    </w:p>
    <w:p w14:paraId="744AF14B">
      <w:pPr>
        <w:pStyle w:val="3"/>
        <w:rPr>
          <w:rFonts w:hint="default" w:ascii="Times New Roman" w:hAnsi="Times New Roman" w:cs="Times New Roman"/>
        </w:rPr>
      </w:pPr>
      <w:r>
        <w:rPr>
          <w:rFonts w:hint="default" w:ascii="Times New Roman" w:hAnsi="Times New Roman" w:cs="Times New Roman"/>
        </w:rPr>
        <w:t>在线推理服务列表</w:t>
      </w:r>
    </w:p>
    <w:p w14:paraId="18D1D449">
      <w:pPr>
        <w:pStyle w:val="10"/>
        <w:numPr>
          <w:ilvl w:val="6"/>
          <w:numId w:val="1"/>
        </w:numPr>
        <w:bidi w:val="0"/>
        <w:ind w:left="1276" w:leftChars="0" w:hanging="1276" w:firstLineChars="0"/>
        <w:rPr>
          <w:rFonts w:hint="default"/>
        </w:rPr>
      </w:pPr>
      <w:r>
        <w:rPr>
          <w:rFonts w:hint="default"/>
        </w:rPr>
        <w:t>新增在线推理部署</w:t>
      </w:r>
    </w:p>
    <w:p w14:paraId="7382CA63">
      <w:pPr>
        <w:ind w:firstLine="480"/>
        <w:rPr>
          <w:rFonts w:hint="default" w:ascii="Times New Roman" w:hAnsi="Times New Roman" w:cs="Times New Roman"/>
        </w:rPr>
      </w:pPr>
      <w:r>
        <w:rPr>
          <w:rFonts w:hint="default" w:ascii="Times New Roman" w:hAnsi="Times New Roman" w:cs="Times New Roman"/>
        </w:rPr>
        <w:t>在服务列表页面可以通过点击“新增推理服务”进行推理部署创建，可选择在测试环境或是生产环境新增推理部署，同时还可选择按模型或推理镜像创建在线推理服务。</w:t>
      </w:r>
    </w:p>
    <w:p w14:paraId="03B5B0EA">
      <w:pPr>
        <w:ind w:firstLine="480"/>
        <w:rPr>
          <w:rFonts w:hint="default" w:ascii="Times New Roman" w:hAnsi="Times New Roman" w:cs="Times New Roman"/>
        </w:rPr>
      </w:pPr>
      <w:r>
        <w:rPr>
          <w:rFonts w:hint="default" w:ascii="Times New Roman" w:hAnsi="Times New Roman" w:cs="Times New Roman"/>
        </w:rPr>
        <w:t>通过模型进行推理部署：根据导入或构建好的镜像版本，进行在线推理发布，填写基础信息，所选镜像（模型在模型管理已确定，此时无需选择），启动参数、计算资源，服务地址（支持AI网关和自定义域名），服务编排，服务接口、健康检查等。</w:t>
      </w:r>
    </w:p>
    <w:p w14:paraId="6F1FDC1D">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914900" cy="2633980"/>
            <wp:effectExtent l="0" t="0" r="7620" b="2540"/>
            <wp:docPr id="1296" name="图片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图片 1599"/>
                    <pic:cNvPicPr>
                      <a:picLocks noChangeAspect="1"/>
                    </pic:cNvPicPr>
                  </pic:nvPicPr>
                  <pic:blipFill>
                    <a:blip r:embed="rId60"/>
                    <a:srcRect l="18678" t="20667"/>
                    <a:stretch>
                      <a:fillRect/>
                    </a:stretch>
                  </pic:blipFill>
                  <pic:spPr>
                    <a:xfrm>
                      <a:off x="0" y="0"/>
                      <a:ext cx="4914900" cy="2633980"/>
                    </a:xfrm>
                    <a:prstGeom prst="rect">
                      <a:avLst/>
                    </a:prstGeom>
                    <a:noFill/>
                    <a:ln>
                      <a:noFill/>
                    </a:ln>
                  </pic:spPr>
                </pic:pic>
              </a:graphicData>
            </a:graphic>
          </wp:inline>
        </w:drawing>
      </w:r>
    </w:p>
    <w:p w14:paraId="4EE9551D">
      <w:pPr>
        <w:pStyle w:val="3"/>
        <w:rPr>
          <w:rFonts w:hint="default" w:ascii="Times New Roman" w:hAnsi="Times New Roman" w:cs="Times New Roman"/>
        </w:rPr>
      </w:pPr>
      <w:bookmarkStart w:id="99" w:name="_Toc165908672"/>
      <w:bookmarkStart w:id="100" w:name="_Toc140249263"/>
      <w:r>
        <w:rPr>
          <w:rFonts w:hint="default" w:ascii="Times New Roman" w:hAnsi="Times New Roman" w:cs="Times New Roman"/>
        </w:rPr>
        <w:t>通过模型部署1</w:t>
      </w:r>
      <w:bookmarkEnd w:id="99"/>
      <w:bookmarkEnd w:id="100"/>
    </w:p>
    <w:p w14:paraId="7CC89777">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996180" cy="3996055"/>
            <wp:effectExtent l="0" t="0" r="2540" b="12065"/>
            <wp:docPr id="1288" name="图片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 name="图片 1711"/>
                    <pic:cNvPicPr>
                      <a:picLocks noChangeAspect="1"/>
                    </pic:cNvPicPr>
                  </pic:nvPicPr>
                  <pic:blipFill>
                    <a:blip r:embed="rId61"/>
                    <a:srcRect l="18752" t="19856"/>
                    <a:stretch>
                      <a:fillRect/>
                    </a:stretch>
                  </pic:blipFill>
                  <pic:spPr>
                    <a:xfrm>
                      <a:off x="0" y="0"/>
                      <a:ext cx="4996180" cy="3996055"/>
                    </a:xfrm>
                    <a:prstGeom prst="rect">
                      <a:avLst/>
                    </a:prstGeom>
                    <a:noFill/>
                    <a:ln>
                      <a:noFill/>
                    </a:ln>
                  </pic:spPr>
                </pic:pic>
              </a:graphicData>
            </a:graphic>
          </wp:inline>
        </w:drawing>
      </w:r>
    </w:p>
    <w:p w14:paraId="747D3A89">
      <w:pPr>
        <w:pStyle w:val="3"/>
        <w:rPr>
          <w:rFonts w:hint="default" w:ascii="Times New Roman" w:hAnsi="Times New Roman" w:cs="Times New Roman"/>
        </w:rPr>
      </w:pPr>
      <w:bookmarkStart w:id="101" w:name="_Toc140249264"/>
      <w:bookmarkStart w:id="102" w:name="_Toc165908673"/>
      <w:r>
        <w:rPr>
          <w:rFonts w:hint="default" w:ascii="Times New Roman" w:hAnsi="Times New Roman" w:cs="Times New Roman"/>
        </w:rPr>
        <w:t>通过模型部署2</w:t>
      </w:r>
      <w:bookmarkEnd w:id="101"/>
      <w:bookmarkEnd w:id="102"/>
    </w:p>
    <w:p w14:paraId="5CF47759">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910455" cy="3400425"/>
            <wp:effectExtent l="0" t="0" r="12065" b="13335"/>
            <wp:docPr id="1286"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图片 283"/>
                    <pic:cNvPicPr>
                      <a:picLocks noChangeAspect="1"/>
                    </pic:cNvPicPr>
                  </pic:nvPicPr>
                  <pic:blipFill>
                    <a:blip r:embed="rId62"/>
                    <a:srcRect l="16364" t="18430"/>
                    <a:stretch>
                      <a:fillRect/>
                    </a:stretch>
                  </pic:blipFill>
                  <pic:spPr>
                    <a:xfrm>
                      <a:off x="0" y="0"/>
                      <a:ext cx="4910455" cy="3400425"/>
                    </a:xfrm>
                    <a:prstGeom prst="rect">
                      <a:avLst/>
                    </a:prstGeom>
                    <a:noFill/>
                    <a:ln>
                      <a:noFill/>
                    </a:ln>
                  </pic:spPr>
                </pic:pic>
              </a:graphicData>
            </a:graphic>
          </wp:inline>
        </w:drawing>
      </w:r>
    </w:p>
    <w:p w14:paraId="5846EAD6">
      <w:pPr>
        <w:pStyle w:val="3"/>
        <w:rPr>
          <w:rFonts w:hint="default" w:ascii="Times New Roman" w:hAnsi="Times New Roman" w:cs="Times New Roman"/>
        </w:rPr>
      </w:pPr>
      <w:bookmarkStart w:id="103" w:name="_Toc165908674"/>
      <w:bookmarkStart w:id="104" w:name="_Toc140249265"/>
      <w:r>
        <w:rPr>
          <w:rFonts w:hint="default" w:ascii="Times New Roman" w:hAnsi="Times New Roman" w:cs="Times New Roman"/>
        </w:rPr>
        <w:t>通过模型部署3</w:t>
      </w:r>
      <w:bookmarkEnd w:id="103"/>
      <w:bookmarkEnd w:id="104"/>
    </w:p>
    <w:p w14:paraId="37668326">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048250" cy="3086100"/>
            <wp:effectExtent l="0" t="0" r="11430" b="7620"/>
            <wp:docPr id="1292"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图片 287"/>
                    <pic:cNvPicPr>
                      <a:picLocks noChangeAspect="1"/>
                    </pic:cNvPicPr>
                  </pic:nvPicPr>
                  <pic:blipFill>
                    <a:blip r:embed="rId63"/>
                    <a:srcRect l="16963" t="15236"/>
                    <a:stretch>
                      <a:fillRect/>
                    </a:stretch>
                  </pic:blipFill>
                  <pic:spPr>
                    <a:xfrm>
                      <a:off x="0" y="0"/>
                      <a:ext cx="5048250" cy="3086100"/>
                    </a:xfrm>
                    <a:prstGeom prst="rect">
                      <a:avLst/>
                    </a:prstGeom>
                    <a:noFill/>
                    <a:ln>
                      <a:noFill/>
                    </a:ln>
                  </pic:spPr>
                </pic:pic>
              </a:graphicData>
            </a:graphic>
          </wp:inline>
        </w:drawing>
      </w:r>
    </w:p>
    <w:p w14:paraId="4753AAD4">
      <w:pPr>
        <w:pStyle w:val="3"/>
        <w:rPr>
          <w:rFonts w:hint="default" w:ascii="Times New Roman" w:hAnsi="Times New Roman" w:cs="Times New Roman"/>
        </w:rPr>
      </w:pPr>
      <w:bookmarkStart w:id="105" w:name="_Toc140249266"/>
      <w:bookmarkStart w:id="106" w:name="_Toc165908675"/>
      <w:r>
        <w:rPr>
          <w:rFonts w:hint="default" w:ascii="Times New Roman" w:hAnsi="Times New Roman" w:cs="Times New Roman"/>
        </w:rPr>
        <w:t>通过模型部署</w:t>
      </w:r>
      <w:bookmarkEnd w:id="105"/>
      <w:bookmarkEnd w:id="106"/>
      <w:r>
        <w:rPr>
          <w:rFonts w:hint="default" w:ascii="Times New Roman" w:hAnsi="Times New Roman" w:cs="Times New Roman"/>
        </w:rPr>
        <w:t>4</w:t>
      </w:r>
    </w:p>
    <w:p w14:paraId="3F2C51F3">
      <w:pPr>
        <w:ind w:firstLine="480"/>
        <w:rPr>
          <w:rFonts w:hint="default" w:ascii="Times New Roman" w:hAnsi="Times New Roman" w:cs="Times New Roman"/>
        </w:rPr>
      </w:pPr>
      <w:r>
        <w:rPr>
          <w:rFonts w:hint="default" w:ascii="Times New Roman" w:hAnsi="Times New Roman" w:cs="Times New Roman"/>
        </w:rPr>
        <w:t>通过推理镜像进行推理部署：根据导入或构建好的镜像版本，进行在线推理发布，填写基础信息，所选镜像，启动参数、计算资源，服务地址（支持AI网关和自定义域名），服务编排，服务接口、健康检查等。</w:t>
      </w:r>
    </w:p>
    <w:p w14:paraId="19250173">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062855" cy="1605280"/>
            <wp:effectExtent l="0" t="0" r="12065" b="10160"/>
            <wp:docPr id="1287"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图片 290"/>
                    <pic:cNvPicPr>
                      <a:picLocks noChangeAspect="1"/>
                    </pic:cNvPicPr>
                  </pic:nvPicPr>
                  <pic:blipFill>
                    <a:blip r:embed="rId64"/>
                    <a:srcRect l="16608" t="19777" b="2"/>
                    <a:stretch>
                      <a:fillRect/>
                    </a:stretch>
                  </pic:blipFill>
                  <pic:spPr>
                    <a:xfrm>
                      <a:off x="0" y="0"/>
                      <a:ext cx="5062855" cy="1605280"/>
                    </a:xfrm>
                    <a:prstGeom prst="rect">
                      <a:avLst/>
                    </a:prstGeom>
                    <a:noFill/>
                    <a:ln>
                      <a:noFill/>
                    </a:ln>
                  </pic:spPr>
                </pic:pic>
              </a:graphicData>
            </a:graphic>
          </wp:inline>
        </w:drawing>
      </w:r>
    </w:p>
    <w:p w14:paraId="42F05F5C">
      <w:pPr>
        <w:pStyle w:val="3"/>
        <w:rPr>
          <w:rFonts w:hint="default" w:ascii="Times New Roman" w:hAnsi="Times New Roman" w:cs="Times New Roman"/>
        </w:rPr>
      </w:pPr>
      <w:bookmarkStart w:id="107" w:name="_Toc140249267"/>
      <w:bookmarkStart w:id="108" w:name="_Toc165908676"/>
      <w:r>
        <w:rPr>
          <w:rFonts w:hint="default" w:ascii="Times New Roman" w:hAnsi="Times New Roman" w:cs="Times New Roman"/>
        </w:rPr>
        <w:t>通过推理镜像部署</w:t>
      </w:r>
      <w:bookmarkEnd w:id="107"/>
      <w:bookmarkEnd w:id="108"/>
      <w:r>
        <w:rPr>
          <w:rFonts w:hint="default" w:ascii="Times New Roman" w:hAnsi="Times New Roman" w:cs="Times New Roman"/>
        </w:rPr>
        <w:t>1</w:t>
      </w:r>
    </w:p>
    <w:p w14:paraId="05321536">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943475" cy="1805305"/>
            <wp:effectExtent l="0" t="0" r="9525" b="8255"/>
            <wp:docPr id="1289" name="图片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 name="图片 1713"/>
                    <pic:cNvPicPr>
                      <a:picLocks noChangeAspect="1"/>
                    </pic:cNvPicPr>
                  </pic:nvPicPr>
                  <pic:blipFill>
                    <a:blip r:embed="rId65"/>
                    <a:srcRect l="18649" t="23624"/>
                    <a:stretch>
                      <a:fillRect/>
                    </a:stretch>
                  </pic:blipFill>
                  <pic:spPr>
                    <a:xfrm>
                      <a:off x="0" y="0"/>
                      <a:ext cx="4943475" cy="1805305"/>
                    </a:xfrm>
                    <a:prstGeom prst="rect">
                      <a:avLst/>
                    </a:prstGeom>
                    <a:noFill/>
                    <a:ln>
                      <a:noFill/>
                    </a:ln>
                  </pic:spPr>
                </pic:pic>
              </a:graphicData>
            </a:graphic>
          </wp:inline>
        </w:drawing>
      </w:r>
    </w:p>
    <w:p w14:paraId="28E9300E">
      <w:pPr>
        <w:pStyle w:val="3"/>
        <w:rPr>
          <w:rFonts w:hint="default" w:ascii="Times New Roman" w:hAnsi="Times New Roman" w:cs="Times New Roman"/>
        </w:rPr>
      </w:pPr>
      <w:bookmarkStart w:id="109" w:name="_Toc140249268"/>
      <w:bookmarkStart w:id="110" w:name="_Toc165908677"/>
      <w:r>
        <w:rPr>
          <w:rFonts w:hint="default" w:ascii="Times New Roman" w:hAnsi="Times New Roman" w:cs="Times New Roman"/>
        </w:rPr>
        <w:t>通过推理镜像部署2</w:t>
      </w:r>
      <w:bookmarkEnd w:id="109"/>
      <w:bookmarkEnd w:id="110"/>
    </w:p>
    <w:p w14:paraId="644AE7FA">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191125" cy="2805430"/>
            <wp:effectExtent l="0" t="0" r="5715" b="13970"/>
            <wp:docPr id="1297"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图片 319"/>
                    <pic:cNvPicPr>
                      <a:picLocks noChangeAspect="1"/>
                    </pic:cNvPicPr>
                  </pic:nvPicPr>
                  <pic:blipFill>
                    <a:blip r:embed="rId66"/>
                    <a:srcRect l="16483" t="11629"/>
                    <a:stretch>
                      <a:fillRect/>
                    </a:stretch>
                  </pic:blipFill>
                  <pic:spPr>
                    <a:xfrm>
                      <a:off x="0" y="0"/>
                      <a:ext cx="5191125" cy="2805430"/>
                    </a:xfrm>
                    <a:prstGeom prst="rect">
                      <a:avLst/>
                    </a:prstGeom>
                    <a:noFill/>
                    <a:ln>
                      <a:noFill/>
                    </a:ln>
                  </pic:spPr>
                </pic:pic>
              </a:graphicData>
            </a:graphic>
          </wp:inline>
        </w:drawing>
      </w:r>
    </w:p>
    <w:p w14:paraId="7C5994FD">
      <w:pPr>
        <w:pStyle w:val="3"/>
        <w:rPr>
          <w:rFonts w:hint="default" w:ascii="Times New Roman" w:hAnsi="Times New Roman" w:cs="Times New Roman"/>
        </w:rPr>
      </w:pPr>
      <w:bookmarkStart w:id="111" w:name="_Toc165908678"/>
      <w:bookmarkStart w:id="112" w:name="_Toc140249269"/>
      <w:r>
        <w:rPr>
          <w:rFonts w:hint="default" w:ascii="Times New Roman" w:hAnsi="Times New Roman" w:cs="Times New Roman"/>
        </w:rPr>
        <w:t>通过推理镜像部署3</w:t>
      </w:r>
      <w:bookmarkEnd w:id="111"/>
      <w:bookmarkEnd w:id="112"/>
    </w:p>
    <w:p w14:paraId="76EFE660">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410075" cy="2919730"/>
            <wp:effectExtent l="0" t="0" r="9525" b="6350"/>
            <wp:docPr id="1298"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图片 296"/>
                    <pic:cNvPicPr>
                      <a:picLocks noChangeAspect="1"/>
                    </pic:cNvPicPr>
                  </pic:nvPicPr>
                  <pic:blipFill>
                    <a:blip r:embed="rId67"/>
                    <a:srcRect l="16367" t="14931"/>
                    <a:stretch>
                      <a:fillRect/>
                    </a:stretch>
                  </pic:blipFill>
                  <pic:spPr>
                    <a:xfrm>
                      <a:off x="0" y="0"/>
                      <a:ext cx="4410075" cy="2919730"/>
                    </a:xfrm>
                    <a:prstGeom prst="rect">
                      <a:avLst/>
                    </a:prstGeom>
                    <a:noFill/>
                    <a:ln>
                      <a:noFill/>
                    </a:ln>
                  </pic:spPr>
                </pic:pic>
              </a:graphicData>
            </a:graphic>
          </wp:inline>
        </w:drawing>
      </w:r>
    </w:p>
    <w:p w14:paraId="48121BCB">
      <w:pPr>
        <w:pStyle w:val="3"/>
        <w:rPr>
          <w:rFonts w:hint="default" w:ascii="Times New Roman" w:hAnsi="Times New Roman" w:cs="Times New Roman"/>
        </w:rPr>
      </w:pPr>
      <w:bookmarkStart w:id="113" w:name="_Toc140249270"/>
      <w:bookmarkStart w:id="114" w:name="_Toc165908679"/>
      <w:r>
        <w:rPr>
          <w:rFonts w:hint="default" w:ascii="Times New Roman" w:hAnsi="Times New Roman" w:cs="Times New Roman"/>
        </w:rPr>
        <w:t>通过推理镜像部署4</w:t>
      </w:r>
      <w:bookmarkEnd w:id="113"/>
      <w:bookmarkEnd w:id="114"/>
    </w:p>
    <w:p w14:paraId="379EA435">
      <w:pPr>
        <w:pStyle w:val="10"/>
        <w:numPr>
          <w:ilvl w:val="6"/>
          <w:numId w:val="1"/>
        </w:numPr>
        <w:bidi w:val="0"/>
        <w:ind w:left="1276" w:leftChars="0" w:hanging="1276" w:firstLineChars="0"/>
        <w:rPr>
          <w:rFonts w:hint="default"/>
        </w:rPr>
      </w:pPr>
      <w:r>
        <w:rPr>
          <w:rFonts w:hint="default"/>
        </w:rPr>
        <w:t>查询与删除在线推理部署</w:t>
      </w:r>
    </w:p>
    <w:p w14:paraId="515FB8E8">
      <w:pPr>
        <w:ind w:firstLine="480"/>
        <w:rPr>
          <w:rFonts w:hint="default" w:ascii="Times New Roman" w:hAnsi="Times New Roman" w:cs="Times New Roman"/>
        </w:rPr>
      </w:pPr>
      <w:r>
        <w:rPr>
          <w:rFonts w:hint="default" w:ascii="Times New Roman" w:hAnsi="Times New Roman" w:cs="Times New Roman"/>
        </w:rPr>
        <w:t>在推理列表中可以根据条件过滤筛选，可输入推理服务名称、应用和状态进行搜索，支持推理服务名称模糊搜索。通过点击“删除”可以删除在线推理部署服务，点击“修改”可以对该推理部署服务的参数进行调整</w:t>
      </w:r>
    </w:p>
    <w:p w14:paraId="6CA24833">
      <w:pPr>
        <w:ind w:firstLine="480"/>
        <w:rPr>
          <w:rFonts w:hint="default" w:ascii="Times New Roman" w:hAnsi="Times New Roman" w:eastAsia="宋体" w:cs="Times New Roman"/>
        </w:rPr>
      </w:pPr>
    </w:p>
    <w:p w14:paraId="46970522">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352925" cy="1990725"/>
            <wp:effectExtent l="0" t="0" r="5715" b="5715"/>
            <wp:docPr id="1299"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图片 316"/>
                    <pic:cNvPicPr>
                      <a:picLocks noChangeAspect="1"/>
                    </pic:cNvPicPr>
                  </pic:nvPicPr>
                  <pic:blipFill>
                    <a:blip r:embed="rId68"/>
                    <a:srcRect l="17447" t="16307"/>
                    <a:stretch>
                      <a:fillRect/>
                    </a:stretch>
                  </pic:blipFill>
                  <pic:spPr>
                    <a:xfrm>
                      <a:off x="0" y="0"/>
                      <a:ext cx="4352925" cy="1990725"/>
                    </a:xfrm>
                    <a:prstGeom prst="rect">
                      <a:avLst/>
                    </a:prstGeom>
                    <a:noFill/>
                    <a:ln>
                      <a:noFill/>
                    </a:ln>
                  </pic:spPr>
                </pic:pic>
              </a:graphicData>
            </a:graphic>
          </wp:inline>
        </w:drawing>
      </w:r>
    </w:p>
    <w:p w14:paraId="00A48997">
      <w:pPr>
        <w:pStyle w:val="3"/>
        <w:rPr>
          <w:rFonts w:hint="default" w:ascii="Times New Roman" w:hAnsi="Times New Roman" w:cs="Times New Roman"/>
        </w:rPr>
      </w:pPr>
      <w:bookmarkStart w:id="115" w:name="_Toc165908670"/>
      <w:bookmarkStart w:id="116" w:name="_Toc140249261"/>
      <w:r>
        <w:rPr>
          <w:rFonts w:hint="default" w:ascii="Times New Roman" w:hAnsi="Times New Roman" w:cs="Times New Roman"/>
        </w:rPr>
        <w:t>查询和删除在线推理</w:t>
      </w:r>
      <w:bookmarkEnd w:id="115"/>
      <w:bookmarkEnd w:id="116"/>
      <w:r>
        <w:rPr>
          <w:rFonts w:hint="default" w:ascii="Times New Roman" w:hAnsi="Times New Roman" w:cs="Times New Roman"/>
        </w:rPr>
        <w:t>部署1</w:t>
      </w:r>
    </w:p>
    <w:p w14:paraId="65FC1A0B">
      <w:pPr>
        <w:pStyle w:val="10"/>
        <w:numPr>
          <w:ilvl w:val="6"/>
          <w:numId w:val="1"/>
        </w:numPr>
        <w:bidi w:val="0"/>
        <w:ind w:left="1276" w:leftChars="0" w:hanging="1276" w:firstLineChars="0"/>
        <w:rPr>
          <w:rFonts w:hint="default"/>
        </w:rPr>
      </w:pPr>
      <w:r>
        <w:rPr>
          <w:rFonts w:hint="default"/>
        </w:rPr>
        <w:t>查看在线推理部署详情</w:t>
      </w:r>
    </w:p>
    <w:p w14:paraId="2773FF49">
      <w:pPr>
        <w:ind w:firstLine="480"/>
        <w:rPr>
          <w:rFonts w:hint="default" w:ascii="Times New Roman" w:hAnsi="Times New Roman" w:cs="Times New Roman"/>
        </w:rPr>
      </w:pPr>
      <w:r>
        <w:rPr>
          <w:rFonts w:hint="default" w:ascii="Times New Roman" w:hAnsi="Times New Roman" w:cs="Times New Roman"/>
        </w:rPr>
        <w:t>在推理列表中可以点击在线推理部署的名称，可进入在线推理部署详情页面，可查看在线服务包含性能监控，服务调用，配置信息、实例信息、输入输出、主要事件、历史镜像等。</w:t>
      </w:r>
    </w:p>
    <w:p w14:paraId="5A632E8D">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429125" cy="1976755"/>
            <wp:effectExtent l="0" t="0" r="5715" b="4445"/>
            <wp:docPr id="1284"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 name="图片 325"/>
                    <pic:cNvPicPr>
                      <a:picLocks noChangeAspect="1"/>
                    </pic:cNvPicPr>
                  </pic:nvPicPr>
                  <pic:blipFill>
                    <a:blip r:embed="rId69"/>
                    <a:srcRect l="16121" t="9331"/>
                    <a:stretch>
                      <a:fillRect/>
                    </a:stretch>
                  </pic:blipFill>
                  <pic:spPr>
                    <a:xfrm>
                      <a:off x="0" y="0"/>
                      <a:ext cx="4429125" cy="1976755"/>
                    </a:xfrm>
                    <a:prstGeom prst="rect">
                      <a:avLst/>
                    </a:prstGeom>
                    <a:noFill/>
                    <a:ln>
                      <a:noFill/>
                    </a:ln>
                  </pic:spPr>
                </pic:pic>
              </a:graphicData>
            </a:graphic>
          </wp:inline>
        </w:drawing>
      </w:r>
    </w:p>
    <w:p w14:paraId="5D196C59">
      <w:pPr>
        <w:pStyle w:val="3"/>
        <w:rPr>
          <w:rFonts w:hint="default" w:ascii="Times New Roman" w:hAnsi="Times New Roman" w:cs="Times New Roman"/>
        </w:rPr>
      </w:pPr>
      <w:bookmarkStart w:id="117" w:name="_Toc140249272"/>
      <w:bookmarkStart w:id="118" w:name="_Toc165908681"/>
      <w:r>
        <w:rPr>
          <w:rFonts w:hint="default" w:ascii="Times New Roman" w:hAnsi="Times New Roman" w:cs="Times New Roman"/>
        </w:rPr>
        <w:t>查看在线推理部署详情</w:t>
      </w:r>
      <w:bookmarkEnd w:id="117"/>
      <w:bookmarkEnd w:id="118"/>
    </w:p>
    <w:p w14:paraId="4F5CFD7E">
      <w:pPr>
        <w:pStyle w:val="10"/>
        <w:numPr>
          <w:ilvl w:val="6"/>
          <w:numId w:val="1"/>
        </w:numPr>
        <w:bidi w:val="0"/>
        <w:ind w:left="1276" w:leftChars="0" w:hanging="1276" w:firstLineChars="0"/>
        <w:rPr>
          <w:rFonts w:hint="default"/>
        </w:rPr>
      </w:pPr>
      <w:r>
        <w:rPr>
          <w:rFonts w:hint="default"/>
        </w:rPr>
        <w:t>修改在线推理部署服务</w:t>
      </w:r>
    </w:p>
    <w:p w14:paraId="5B4D48DE">
      <w:pPr>
        <w:ind w:firstLine="480"/>
        <w:rPr>
          <w:rFonts w:hint="default" w:ascii="Times New Roman" w:hAnsi="Times New Roman" w:cs="Times New Roman"/>
        </w:rPr>
      </w:pPr>
      <w:r>
        <w:rPr>
          <w:rFonts w:hint="default" w:ascii="Times New Roman" w:hAnsi="Times New Roman" w:cs="Times New Roman"/>
        </w:rPr>
        <w:t>对正在运行的在线推理服务，点击操作中的“扩缩容”，可以更改该在线推理服务实例配置。</w:t>
      </w:r>
    </w:p>
    <w:p w14:paraId="09760170">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629150" cy="933450"/>
            <wp:effectExtent l="0" t="0" r="3810" b="11430"/>
            <wp:docPr id="1283"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 name="图片 280"/>
                    <pic:cNvPicPr>
                      <a:picLocks noChangeAspect="1"/>
                    </pic:cNvPicPr>
                  </pic:nvPicPr>
                  <pic:blipFill>
                    <a:blip r:embed="rId70"/>
                    <a:srcRect l="12151" t="9904" b="39197"/>
                    <a:stretch>
                      <a:fillRect/>
                    </a:stretch>
                  </pic:blipFill>
                  <pic:spPr>
                    <a:xfrm>
                      <a:off x="0" y="0"/>
                      <a:ext cx="4629150" cy="933450"/>
                    </a:xfrm>
                    <a:prstGeom prst="rect">
                      <a:avLst/>
                    </a:prstGeom>
                    <a:noFill/>
                    <a:ln>
                      <a:noFill/>
                    </a:ln>
                  </pic:spPr>
                </pic:pic>
              </a:graphicData>
            </a:graphic>
          </wp:inline>
        </w:drawing>
      </w:r>
    </w:p>
    <w:p w14:paraId="7F185013">
      <w:pPr>
        <w:pStyle w:val="3"/>
        <w:rPr>
          <w:rFonts w:hint="default" w:ascii="Times New Roman" w:hAnsi="Times New Roman" w:cs="Times New Roman"/>
        </w:rPr>
      </w:pPr>
      <w:r>
        <w:rPr>
          <w:rFonts w:hint="default" w:ascii="Times New Roman" w:hAnsi="Times New Roman" w:cs="Times New Roman"/>
        </w:rPr>
        <w:t>扩缩容</w:t>
      </w:r>
    </w:p>
    <w:p w14:paraId="51CB4F2E">
      <w:pPr>
        <w:ind w:firstLine="480"/>
        <w:rPr>
          <w:rFonts w:hint="default" w:ascii="Times New Roman" w:hAnsi="Times New Roman" w:cs="Times New Roman"/>
        </w:rPr>
      </w:pPr>
      <w:r>
        <w:rPr>
          <w:rFonts w:hint="default" w:ascii="Times New Roman" w:hAnsi="Times New Roman" w:cs="Times New Roman"/>
        </w:rPr>
        <w:t>对正在运行的在线推理服务，点击操作中的“规格调整”，可以调整该在线推理服务的计算资源。</w:t>
      </w:r>
    </w:p>
    <w:p w14:paraId="03D076A5">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643755" cy="1167130"/>
            <wp:effectExtent l="0" t="0" r="4445" b="6350"/>
            <wp:docPr id="1269"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 name="图片 281"/>
                    <pic:cNvPicPr>
                      <a:picLocks noChangeAspect="1"/>
                    </pic:cNvPicPr>
                  </pic:nvPicPr>
                  <pic:blipFill>
                    <a:blip r:embed="rId71"/>
                    <a:srcRect l="11801" t="10693" b="16499"/>
                    <a:stretch>
                      <a:fillRect/>
                    </a:stretch>
                  </pic:blipFill>
                  <pic:spPr>
                    <a:xfrm>
                      <a:off x="0" y="0"/>
                      <a:ext cx="4643755" cy="1167130"/>
                    </a:xfrm>
                    <a:prstGeom prst="rect">
                      <a:avLst/>
                    </a:prstGeom>
                    <a:noFill/>
                    <a:ln>
                      <a:noFill/>
                    </a:ln>
                  </pic:spPr>
                </pic:pic>
              </a:graphicData>
            </a:graphic>
          </wp:inline>
        </w:drawing>
      </w:r>
    </w:p>
    <w:p w14:paraId="2E269F05">
      <w:pPr>
        <w:pStyle w:val="3"/>
        <w:rPr>
          <w:rFonts w:hint="default" w:ascii="Times New Roman" w:hAnsi="Times New Roman" w:cs="Times New Roman"/>
        </w:rPr>
      </w:pPr>
      <w:r>
        <w:rPr>
          <w:rFonts w:hint="default" w:ascii="Times New Roman" w:hAnsi="Times New Roman" w:cs="Times New Roman"/>
        </w:rPr>
        <w:t>图规格调整</w:t>
      </w:r>
    </w:p>
    <w:p w14:paraId="0F6ED732">
      <w:pPr>
        <w:ind w:firstLine="480"/>
        <w:rPr>
          <w:rFonts w:hint="default" w:ascii="Times New Roman" w:hAnsi="Times New Roman" w:cs="Times New Roman"/>
        </w:rPr>
      </w:pPr>
      <w:r>
        <w:rPr>
          <w:rFonts w:hint="default" w:ascii="Times New Roman" w:hAnsi="Times New Roman" w:cs="Times New Roman"/>
        </w:rPr>
        <w:t>对正在运行的在线推理服务，点击操作中的“配置变更”，可以对配置在线推理服务的启动参数和更改其健康检查。</w:t>
      </w:r>
    </w:p>
    <w:p w14:paraId="2F8D935F">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862830" cy="2057400"/>
            <wp:effectExtent l="0" t="0" r="13970" b="0"/>
            <wp:docPr id="1276"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 name="图片 282"/>
                    <pic:cNvPicPr>
                      <a:picLocks noChangeAspect="1"/>
                    </pic:cNvPicPr>
                  </pic:nvPicPr>
                  <pic:blipFill>
                    <a:blip r:embed="rId72"/>
                    <a:srcRect l="7822" t="8372"/>
                    <a:stretch>
                      <a:fillRect/>
                    </a:stretch>
                  </pic:blipFill>
                  <pic:spPr>
                    <a:xfrm>
                      <a:off x="0" y="0"/>
                      <a:ext cx="4862830" cy="2057400"/>
                    </a:xfrm>
                    <a:prstGeom prst="rect">
                      <a:avLst/>
                    </a:prstGeom>
                    <a:noFill/>
                    <a:ln>
                      <a:noFill/>
                    </a:ln>
                  </pic:spPr>
                </pic:pic>
              </a:graphicData>
            </a:graphic>
          </wp:inline>
        </w:drawing>
      </w:r>
    </w:p>
    <w:p w14:paraId="00954A3C">
      <w:pPr>
        <w:pStyle w:val="3"/>
        <w:rPr>
          <w:rFonts w:hint="default" w:ascii="Times New Roman" w:hAnsi="Times New Roman" w:cs="Times New Roman"/>
        </w:rPr>
      </w:pPr>
      <w:r>
        <w:rPr>
          <w:rFonts w:hint="default" w:ascii="Times New Roman" w:hAnsi="Times New Roman" w:cs="Times New Roman"/>
        </w:rPr>
        <w:t>配置变更</w:t>
      </w:r>
    </w:p>
    <w:p w14:paraId="5347059E">
      <w:pPr>
        <w:pStyle w:val="9"/>
        <w:numPr>
          <w:ilvl w:val="5"/>
          <w:numId w:val="1"/>
        </w:numPr>
        <w:bidi w:val="0"/>
        <w:rPr>
          <w:rFonts w:hint="default"/>
        </w:rPr>
      </w:pPr>
      <w:r>
        <w:rPr>
          <w:rFonts w:hint="default"/>
        </w:rPr>
        <w:t>推理部署配置</w:t>
      </w:r>
    </w:p>
    <w:p w14:paraId="514489B1">
      <w:pPr>
        <w:ind w:firstLine="480"/>
        <w:rPr>
          <w:rFonts w:hint="default" w:ascii="Times New Roman" w:hAnsi="Times New Roman" w:cs="Times New Roman"/>
        </w:rPr>
      </w:pPr>
      <w:r>
        <w:rPr>
          <w:rFonts w:hint="default" w:ascii="Times New Roman" w:hAnsi="Times New Roman" w:cs="Times New Roman"/>
        </w:rPr>
        <w:t>在线推理服务配置：提供可视化的在线推理服务配置功能，包括服务使用的模型镜像、需要的资源以及其他与服务启动相关的参数。</w:t>
      </w:r>
    </w:p>
    <w:p w14:paraId="7B430AF4">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81930" cy="3376930"/>
            <wp:effectExtent l="0" t="0" r="6350" b="6350"/>
            <wp:docPr id="1259" name="图片 284"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 name="图片 284" descr="图形用户界面, 文本, 应用程序, 电子邮件&#10;&#10;描述已自动生成"/>
                    <pic:cNvPicPr>
                      <a:picLocks noChangeAspect="1"/>
                    </pic:cNvPicPr>
                  </pic:nvPicPr>
                  <pic:blipFill>
                    <a:blip r:embed="rId73"/>
                    <a:stretch>
                      <a:fillRect/>
                    </a:stretch>
                  </pic:blipFill>
                  <pic:spPr>
                    <a:xfrm>
                      <a:off x="0" y="0"/>
                      <a:ext cx="5281930" cy="3376930"/>
                    </a:xfrm>
                    <a:prstGeom prst="rect">
                      <a:avLst/>
                    </a:prstGeom>
                    <a:noFill/>
                    <a:ln>
                      <a:noFill/>
                    </a:ln>
                  </pic:spPr>
                </pic:pic>
              </a:graphicData>
            </a:graphic>
          </wp:inline>
        </w:drawing>
      </w:r>
    </w:p>
    <w:p w14:paraId="420E7CE3">
      <w:pPr>
        <w:pStyle w:val="3"/>
        <w:rPr>
          <w:rFonts w:hint="default" w:ascii="Times New Roman" w:hAnsi="Times New Roman" w:cs="Times New Roman"/>
        </w:rPr>
      </w:pPr>
      <w:r>
        <w:rPr>
          <w:rFonts w:hint="default" w:ascii="Times New Roman" w:hAnsi="Times New Roman" w:cs="Times New Roman"/>
        </w:rPr>
        <w:t>在线推理服务的镜像配置</w:t>
      </w:r>
    </w:p>
    <w:p w14:paraId="76F4D868">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714875" cy="3028950"/>
            <wp:effectExtent l="0" t="0" r="9525" b="3810"/>
            <wp:docPr id="1249" name="图片 28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 name="图片 285" descr="图形用户界面, 应用程序&#10;&#10;描述已自动生成"/>
                    <pic:cNvPicPr>
                      <a:picLocks noChangeAspect="1"/>
                    </pic:cNvPicPr>
                  </pic:nvPicPr>
                  <pic:blipFill>
                    <a:blip r:embed="rId74"/>
                    <a:stretch>
                      <a:fillRect/>
                    </a:stretch>
                  </pic:blipFill>
                  <pic:spPr>
                    <a:xfrm>
                      <a:off x="0" y="0"/>
                      <a:ext cx="4714875" cy="3028950"/>
                    </a:xfrm>
                    <a:prstGeom prst="rect">
                      <a:avLst/>
                    </a:prstGeom>
                    <a:noFill/>
                    <a:ln>
                      <a:noFill/>
                    </a:ln>
                  </pic:spPr>
                </pic:pic>
              </a:graphicData>
            </a:graphic>
          </wp:inline>
        </w:drawing>
      </w:r>
    </w:p>
    <w:p w14:paraId="747885D7">
      <w:pPr>
        <w:pStyle w:val="3"/>
        <w:rPr>
          <w:rFonts w:hint="default" w:ascii="Times New Roman" w:hAnsi="Times New Roman" w:cs="Times New Roman"/>
        </w:rPr>
      </w:pPr>
      <w:r>
        <w:rPr>
          <w:rFonts w:hint="default" w:ascii="Times New Roman" w:hAnsi="Times New Roman" w:cs="Times New Roman"/>
        </w:rPr>
        <w:t>在线推理服务的计算资源配置</w:t>
      </w:r>
    </w:p>
    <w:p w14:paraId="73EBFBB4">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834255" cy="2657475"/>
            <wp:effectExtent l="0" t="0" r="12065" b="9525"/>
            <wp:docPr id="1255" name="图片 286"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 name="图片 286" descr="图形用户界面, 文本&#10;&#10;描述已自动生成"/>
                    <pic:cNvPicPr>
                      <a:picLocks noChangeAspect="1"/>
                    </pic:cNvPicPr>
                  </pic:nvPicPr>
                  <pic:blipFill>
                    <a:blip r:embed="rId75"/>
                    <a:stretch>
                      <a:fillRect/>
                    </a:stretch>
                  </pic:blipFill>
                  <pic:spPr>
                    <a:xfrm>
                      <a:off x="0" y="0"/>
                      <a:ext cx="4834255" cy="2657475"/>
                    </a:xfrm>
                    <a:prstGeom prst="rect">
                      <a:avLst/>
                    </a:prstGeom>
                    <a:noFill/>
                    <a:ln>
                      <a:noFill/>
                    </a:ln>
                  </pic:spPr>
                </pic:pic>
              </a:graphicData>
            </a:graphic>
          </wp:inline>
        </w:drawing>
      </w:r>
    </w:p>
    <w:p w14:paraId="6283B6E8">
      <w:pPr>
        <w:pStyle w:val="3"/>
        <w:rPr>
          <w:rFonts w:hint="default" w:ascii="Times New Roman" w:hAnsi="Times New Roman" w:cs="Times New Roman"/>
        </w:rPr>
      </w:pPr>
      <w:r>
        <w:rPr>
          <w:rFonts w:hint="default" w:ascii="Times New Roman" w:hAnsi="Times New Roman" w:cs="Times New Roman"/>
        </w:rPr>
        <w:t>在线推理服务的启动参数配置</w:t>
      </w:r>
    </w:p>
    <w:p w14:paraId="7F937CB3">
      <w:pPr>
        <w:ind w:firstLine="480"/>
        <w:rPr>
          <w:rFonts w:hint="default" w:ascii="Times New Roman" w:hAnsi="Times New Roman" w:cs="Times New Roman"/>
        </w:rPr>
      </w:pPr>
      <w:r>
        <w:rPr>
          <w:rFonts w:hint="default" w:ascii="Times New Roman" w:hAnsi="Times New Roman" w:cs="Times New Roman"/>
        </w:rPr>
        <w:t>基础信息录入：包括服务的名称、归属应用和描述信息。</w:t>
      </w:r>
    </w:p>
    <w:p w14:paraId="0968C6E9">
      <w:pPr>
        <w:ind w:firstLine="480"/>
        <w:rPr>
          <w:rFonts w:hint="default" w:ascii="Times New Roman" w:hAnsi="Times New Roman" w:cs="Times New Roman"/>
        </w:rPr>
      </w:pPr>
      <w:r>
        <w:rPr>
          <w:rFonts w:hint="default" w:ascii="Times New Roman" w:hAnsi="Times New Roman" w:cs="Times New Roman"/>
        </w:rPr>
        <w:t>创建内容选择：支持从模型代码包或者准备好的推理镜像创建在线推理服务。</w:t>
      </w:r>
    </w:p>
    <w:p w14:paraId="53B543D0">
      <w:pPr>
        <w:ind w:firstLine="480"/>
        <w:rPr>
          <w:rFonts w:hint="default" w:ascii="Times New Roman" w:hAnsi="Times New Roman" w:cs="Times New Roman"/>
        </w:rPr>
      </w:pPr>
      <w:r>
        <w:rPr>
          <w:rFonts w:hint="default" w:ascii="Times New Roman" w:hAnsi="Times New Roman" w:cs="Times New Roman"/>
        </w:rPr>
        <w:t>配置启动参数：根据不同的内容填写不同的启动参数，包括环境变量、日志路径、启动命令、服务端口等等。</w:t>
      </w:r>
    </w:p>
    <w:p w14:paraId="33690554">
      <w:pPr>
        <w:ind w:firstLine="480"/>
        <w:rPr>
          <w:rFonts w:hint="default" w:ascii="Times New Roman" w:hAnsi="Times New Roman" w:cs="Times New Roman"/>
        </w:rPr>
      </w:pPr>
      <w:r>
        <w:rPr>
          <w:rFonts w:hint="default" w:ascii="Times New Roman" w:hAnsi="Times New Roman" w:cs="Times New Roman"/>
        </w:rPr>
        <w:t>计算资源配置：可根据实时的项目剩余计算资源，配置服务的实例个数、CPU、内存等。</w:t>
      </w:r>
    </w:p>
    <w:p w14:paraId="43FB0AFF">
      <w:pPr>
        <w:ind w:firstLine="480"/>
        <w:rPr>
          <w:rFonts w:hint="default" w:ascii="Times New Roman" w:hAnsi="Times New Roman" w:cs="Times New Roman"/>
        </w:rPr>
      </w:pPr>
      <w:r>
        <w:rPr>
          <w:rFonts w:hint="default" w:ascii="Times New Roman" w:hAnsi="Times New Roman" w:cs="Times New Roman"/>
        </w:rPr>
        <w:t>生产/测试环境配置：配置服务发布环境，包括测试环境和生产环境。</w:t>
      </w:r>
    </w:p>
    <w:p w14:paraId="186C9150">
      <w:pPr>
        <w:ind w:firstLine="480"/>
        <w:rPr>
          <w:rFonts w:hint="default" w:ascii="Times New Roman" w:hAnsi="Times New Roman" w:cs="Times New Roman"/>
        </w:rPr>
      </w:pPr>
      <w:r>
        <w:rPr>
          <w:rFonts w:hint="default" w:ascii="Times New Roman" w:hAnsi="Times New Roman" w:cs="Times New Roman"/>
        </w:rPr>
        <w:t>在线服务标识/自定义域名配置：配置用于识别服务的唯一标识或自定义域名。</w:t>
      </w:r>
    </w:p>
    <w:p w14:paraId="34A3CEAF">
      <w:pPr>
        <w:ind w:firstLine="480"/>
        <w:rPr>
          <w:rFonts w:hint="default" w:ascii="Times New Roman" w:hAnsi="Times New Roman" w:cs="Times New Roman"/>
        </w:rPr>
      </w:pPr>
      <w:r>
        <w:rPr>
          <w:rFonts w:hint="default" w:ascii="Times New Roman" w:hAnsi="Times New Roman" w:cs="Times New Roman"/>
        </w:rPr>
        <w:t>服务鉴权选择：可选择是否启动服务鉴权。</w:t>
      </w:r>
    </w:p>
    <w:p w14:paraId="09B74BD0">
      <w:pPr>
        <w:ind w:firstLine="480"/>
        <w:rPr>
          <w:rFonts w:hint="default" w:ascii="Times New Roman" w:hAnsi="Times New Roman" w:cs="Times New Roman"/>
        </w:rPr>
      </w:pPr>
      <w:r>
        <w:rPr>
          <w:rFonts w:hint="default" w:ascii="Times New Roman" w:hAnsi="Times New Roman" w:cs="Times New Roman"/>
        </w:rPr>
        <w:t>数据留存选择：可选择是否启动在线请求的数据留存。</w:t>
      </w:r>
    </w:p>
    <w:p w14:paraId="11D59B77">
      <w:pPr>
        <w:ind w:firstLine="480"/>
        <w:rPr>
          <w:rFonts w:hint="eastAsia"/>
        </w:rPr>
      </w:pPr>
      <w:r>
        <w:rPr>
          <w:rFonts w:hint="default" w:ascii="Times New Roman" w:hAnsi="Times New Roman" w:cs="Times New Roman"/>
        </w:rPr>
        <w:t>服务接口定义：可单独定义每个服务的接口操作、名称和路径等信息。</w:t>
      </w:r>
    </w:p>
    <w:p w14:paraId="33C7799C">
      <w:pPr>
        <w:pStyle w:val="38"/>
        <w:numPr>
          <w:ilvl w:val="3"/>
          <w:numId w:val="1"/>
        </w:numPr>
        <w:outlineLvl w:val="3"/>
        <w:rPr>
          <w:rFonts w:hint="eastAsia"/>
          <w:highlight w:val="yellow"/>
        </w:rPr>
      </w:pPr>
      <w:commentRangeStart w:id="8"/>
      <w:r>
        <w:rPr>
          <w:rFonts w:hint="eastAsia"/>
          <w:highlight w:val="yellow"/>
        </w:rPr>
        <w:t>安全防护</w:t>
      </w:r>
      <w:commentRangeEnd w:id="8"/>
      <w:r>
        <w:rPr>
          <w:highlight w:val="yellow"/>
        </w:rPr>
        <w:commentReference w:id="8"/>
      </w:r>
    </w:p>
    <w:p w14:paraId="2B8443AD">
      <w:pPr>
        <w:pStyle w:val="38"/>
        <w:numPr>
          <w:ilvl w:val="0"/>
          <w:numId w:val="0"/>
        </w:numPr>
        <w:ind w:leftChars="0"/>
        <w:outlineLvl w:val="3"/>
        <w:rPr>
          <w:rFonts w:hint="eastAsia"/>
          <w:highlight w:val="yellow"/>
        </w:rPr>
      </w:pPr>
    </w:p>
    <w:p w14:paraId="3BB62A2C">
      <w:pPr>
        <w:pStyle w:val="38"/>
        <w:numPr>
          <w:ilvl w:val="3"/>
          <w:numId w:val="1"/>
        </w:numPr>
        <w:outlineLvl w:val="3"/>
        <w:rPr>
          <w:rFonts w:hint="eastAsia"/>
        </w:rPr>
      </w:pPr>
      <w:r>
        <w:rPr>
          <w:rFonts w:hint="eastAsia"/>
        </w:rPr>
        <w:t>流量控制</w:t>
      </w:r>
    </w:p>
    <w:p w14:paraId="46BB5676">
      <w:pPr>
        <w:pStyle w:val="38"/>
        <w:numPr>
          <w:ilvl w:val="0"/>
          <w:numId w:val="0"/>
        </w:numPr>
        <w:ind w:leftChars="0"/>
        <w:outlineLvl w:val="3"/>
        <w:rPr>
          <w:rFonts w:hint="eastAsia"/>
        </w:rPr>
      </w:pPr>
    </w:p>
    <w:p w14:paraId="567C9B9F">
      <w:pPr>
        <w:pStyle w:val="38"/>
        <w:numPr>
          <w:ilvl w:val="2"/>
          <w:numId w:val="1"/>
        </w:numPr>
        <w:outlineLvl w:val="2"/>
        <w:rPr>
          <w:rFonts w:hint="eastAsia"/>
        </w:rPr>
      </w:pPr>
      <w:r>
        <w:rPr>
          <w:rFonts w:hint="eastAsia"/>
        </w:rPr>
        <w:t>模型仓管理</w:t>
      </w:r>
    </w:p>
    <w:p w14:paraId="5FD9E392">
      <w:pPr>
        <w:pStyle w:val="38"/>
        <w:numPr>
          <w:ilvl w:val="3"/>
          <w:numId w:val="1"/>
        </w:numPr>
        <w:outlineLvl w:val="3"/>
        <w:rPr>
          <w:rFonts w:hint="eastAsia"/>
        </w:rPr>
      </w:pPr>
      <w:r>
        <w:rPr>
          <w:rFonts w:hint="eastAsia"/>
        </w:rPr>
        <w:t>大模型管理</w:t>
      </w:r>
    </w:p>
    <w:p w14:paraId="4BB62E68">
      <w:pPr>
        <w:pStyle w:val="38"/>
        <w:numPr>
          <w:ilvl w:val="4"/>
          <w:numId w:val="1"/>
        </w:numPr>
        <w:ind w:left="992" w:leftChars="0" w:hanging="992" w:firstLineChars="0"/>
        <w:outlineLvl w:val="4"/>
        <w:rPr>
          <w:rFonts w:hint="default"/>
        </w:rPr>
      </w:pPr>
      <w:r>
        <w:rPr>
          <w:rFonts w:hint="default"/>
        </w:rPr>
        <w:t>支持主流开源模型纳管</w:t>
      </w:r>
    </w:p>
    <w:p w14:paraId="07539A56">
      <w:pPr>
        <w:ind w:firstLine="480"/>
        <w:rPr>
          <w:rFonts w:hint="default" w:ascii="Times New Roman" w:hAnsi="Times New Roman" w:cs="Times New Roman"/>
        </w:rPr>
      </w:pPr>
      <w:r>
        <w:rPr>
          <w:rFonts w:hint="default" w:ascii="Times New Roman" w:hAnsi="Times New Roman" w:cs="Times New Roman"/>
        </w:rPr>
        <w:t>模型广场服务可以查看平台纳管的主流开源模型，包括DeepSeek、通义千问、GLM等不同参数规模的模型。</w:t>
      </w:r>
    </w:p>
    <w:p w14:paraId="48CA58D4">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323205" cy="2630170"/>
            <wp:effectExtent l="0" t="0" r="10795"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76"/>
                    <a:stretch>
                      <a:fillRect/>
                    </a:stretch>
                  </pic:blipFill>
                  <pic:spPr>
                    <a:xfrm>
                      <a:off x="0" y="0"/>
                      <a:ext cx="5323205" cy="2630170"/>
                    </a:xfrm>
                    <a:prstGeom prst="rect">
                      <a:avLst/>
                    </a:prstGeom>
                    <a:noFill/>
                    <a:ln>
                      <a:noFill/>
                    </a:ln>
                  </pic:spPr>
                </pic:pic>
              </a:graphicData>
            </a:graphic>
          </wp:inline>
        </w:drawing>
      </w:r>
    </w:p>
    <w:p w14:paraId="48C0B024">
      <w:pPr>
        <w:ind w:firstLine="480"/>
        <w:rPr>
          <w:rFonts w:hint="default" w:ascii="Times New Roman" w:hAnsi="Times New Roman" w:cs="Times New Roman"/>
        </w:rPr>
      </w:pPr>
      <w:r>
        <w:rPr>
          <w:rFonts w:hint="default" w:ascii="Times New Roman" w:hAnsi="Times New Roman" w:cs="Times New Roman"/>
        </w:rPr>
        <w:t>支持列表（包括但不限于）</w:t>
      </w:r>
    </w:p>
    <w:tbl>
      <w:tblPr>
        <w:tblStyle w:val="22"/>
        <w:tblW w:w="6120" w:type="dxa"/>
        <w:jc w:val="center"/>
        <w:tblLayout w:type="autofit"/>
        <w:tblCellMar>
          <w:top w:w="15" w:type="dxa"/>
          <w:left w:w="15" w:type="dxa"/>
          <w:bottom w:w="15" w:type="dxa"/>
          <w:right w:w="15" w:type="dxa"/>
        </w:tblCellMar>
      </w:tblPr>
      <w:tblGrid>
        <w:gridCol w:w="1840"/>
        <w:gridCol w:w="4280"/>
      </w:tblGrid>
      <w:tr w14:paraId="5A8F3078">
        <w:tblPrEx>
          <w:tblCellMar>
            <w:top w:w="15" w:type="dxa"/>
            <w:left w:w="15" w:type="dxa"/>
            <w:bottom w:w="15" w:type="dxa"/>
            <w:right w:w="15" w:type="dxa"/>
          </w:tblCellMar>
        </w:tblPrEx>
        <w:trPr>
          <w:trHeight w:val="40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1657B">
            <w:pPr>
              <w:pStyle w:val="3"/>
              <w:rPr>
                <w:rFonts w:hint="default" w:ascii="Times New Roman" w:hAnsi="Times New Roman" w:cs="Times New Roman"/>
              </w:rPr>
            </w:pPr>
            <w:r>
              <w:rPr>
                <w:rFonts w:hint="default" w:ascii="Times New Roman" w:hAnsi="Times New Roman" w:cs="Times New Roman"/>
              </w:rPr>
              <w:t>DeepSeek</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191AD">
            <w:pPr>
              <w:pStyle w:val="3"/>
              <w:rPr>
                <w:rFonts w:hint="default" w:ascii="Times New Roman" w:hAnsi="Times New Roman" w:cs="Times New Roman"/>
              </w:rPr>
            </w:pPr>
            <w:r>
              <w:rPr>
                <w:rFonts w:hint="default" w:ascii="Times New Roman" w:hAnsi="Times New Roman" w:cs="Times New Roman"/>
              </w:rPr>
              <w:t>DeepSeek-R1/DeepSeek-R1-0528</w:t>
            </w:r>
          </w:p>
        </w:tc>
      </w:tr>
      <w:tr w14:paraId="3BD2793B">
        <w:tblPrEx>
          <w:tblCellMar>
            <w:top w:w="15" w:type="dxa"/>
            <w:left w:w="15" w:type="dxa"/>
            <w:bottom w:w="15" w:type="dxa"/>
            <w:right w:w="15" w:type="dxa"/>
          </w:tblCellMar>
        </w:tblPrEx>
        <w:trPr>
          <w:trHeight w:val="52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6BFDC">
            <w:pPr>
              <w:pStyle w:val="3"/>
              <w:rPr>
                <w:rFonts w:hint="default" w:ascii="Times New Roman" w:hAnsi="Times New Roman" w:cs="Times New Roman"/>
              </w:rPr>
            </w:pPr>
            <w:r>
              <w:rPr>
                <w:rFonts w:hint="default" w:ascii="Times New Roman" w:hAnsi="Times New Roman" w:cs="Times New Roman"/>
              </w:rPr>
              <w:t>DeepSeek</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75FE3">
            <w:pPr>
              <w:pStyle w:val="3"/>
              <w:rPr>
                <w:rFonts w:hint="default" w:ascii="Times New Roman" w:hAnsi="Times New Roman" w:cs="Times New Roman"/>
              </w:rPr>
            </w:pPr>
            <w:r>
              <w:rPr>
                <w:rFonts w:hint="default" w:ascii="Times New Roman" w:hAnsi="Times New Roman" w:cs="Times New Roman"/>
              </w:rPr>
              <w:t>DeepSeek-V3/DeepSeek-V3-0324</w:t>
            </w:r>
          </w:p>
        </w:tc>
      </w:tr>
      <w:tr w14:paraId="5FEA481A">
        <w:tblPrEx>
          <w:tblCellMar>
            <w:top w:w="15" w:type="dxa"/>
            <w:left w:w="15" w:type="dxa"/>
            <w:bottom w:w="15" w:type="dxa"/>
            <w:right w:w="15" w:type="dxa"/>
          </w:tblCellMar>
        </w:tblPrEx>
        <w:trPr>
          <w:trHeight w:val="48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450A2">
            <w:pPr>
              <w:pStyle w:val="3"/>
              <w:rPr>
                <w:rFonts w:hint="default" w:ascii="Times New Roman" w:hAnsi="Times New Roman" w:cs="Times New Roman"/>
              </w:rPr>
            </w:pPr>
            <w:r>
              <w:rPr>
                <w:rFonts w:hint="default" w:ascii="Times New Roman" w:hAnsi="Times New Roman" w:cs="Times New Roman"/>
              </w:rPr>
              <w:t>DeepSeek</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333A0">
            <w:pPr>
              <w:pStyle w:val="3"/>
              <w:rPr>
                <w:rFonts w:hint="default" w:ascii="Times New Roman" w:hAnsi="Times New Roman" w:cs="Times New Roman"/>
              </w:rPr>
            </w:pPr>
            <w:r>
              <w:rPr>
                <w:rFonts w:hint="default" w:ascii="Times New Roman" w:hAnsi="Times New Roman" w:cs="Times New Roman"/>
              </w:rPr>
              <w:t>DeepSeek-R1-Distill-Qwen-1.5B</w:t>
            </w:r>
          </w:p>
        </w:tc>
      </w:tr>
      <w:tr w14:paraId="6960AEDA">
        <w:tblPrEx>
          <w:tblCellMar>
            <w:top w:w="15" w:type="dxa"/>
            <w:left w:w="15" w:type="dxa"/>
            <w:bottom w:w="15" w:type="dxa"/>
            <w:right w:w="15" w:type="dxa"/>
          </w:tblCellMar>
        </w:tblPrEx>
        <w:trPr>
          <w:trHeight w:val="48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50C32">
            <w:pPr>
              <w:pStyle w:val="3"/>
              <w:rPr>
                <w:rFonts w:hint="default" w:ascii="Times New Roman" w:hAnsi="Times New Roman" w:cs="Times New Roman"/>
              </w:rPr>
            </w:pPr>
            <w:r>
              <w:rPr>
                <w:rFonts w:hint="default" w:ascii="Times New Roman" w:hAnsi="Times New Roman" w:cs="Times New Roman"/>
              </w:rPr>
              <w:t>DeepSeek</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A86D4">
            <w:pPr>
              <w:pStyle w:val="3"/>
              <w:rPr>
                <w:rFonts w:hint="default" w:ascii="Times New Roman" w:hAnsi="Times New Roman" w:cs="Times New Roman"/>
              </w:rPr>
            </w:pPr>
            <w:r>
              <w:rPr>
                <w:rFonts w:hint="default" w:ascii="Times New Roman" w:hAnsi="Times New Roman" w:cs="Times New Roman"/>
              </w:rPr>
              <w:t>DeepSeek-R1-Distill-Qwen-7B</w:t>
            </w:r>
          </w:p>
        </w:tc>
      </w:tr>
      <w:tr w14:paraId="0D1003F1">
        <w:tblPrEx>
          <w:tblCellMar>
            <w:top w:w="15" w:type="dxa"/>
            <w:left w:w="15" w:type="dxa"/>
            <w:bottom w:w="15" w:type="dxa"/>
            <w:right w:w="15" w:type="dxa"/>
          </w:tblCellMar>
        </w:tblPrEx>
        <w:trPr>
          <w:trHeight w:val="48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EE8A4">
            <w:pPr>
              <w:pStyle w:val="3"/>
              <w:rPr>
                <w:rFonts w:hint="default" w:ascii="Times New Roman" w:hAnsi="Times New Roman" w:cs="Times New Roman"/>
              </w:rPr>
            </w:pPr>
            <w:r>
              <w:rPr>
                <w:rFonts w:hint="default" w:ascii="Times New Roman" w:hAnsi="Times New Roman" w:cs="Times New Roman"/>
              </w:rPr>
              <w:t>DeepSeek</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2C1B8">
            <w:pPr>
              <w:pStyle w:val="3"/>
              <w:rPr>
                <w:rFonts w:hint="default" w:ascii="Times New Roman" w:hAnsi="Times New Roman" w:cs="Times New Roman"/>
              </w:rPr>
            </w:pPr>
            <w:r>
              <w:rPr>
                <w:rFonts w:hint="default" w:ascii="Times New Roman" w:hAnsi="Times New Roman" w:cs="Times New Roman"/>
              </w:rPr>
              <w:t>DeepSeek-R1-Distill-Qwen-14B</w:t>
            </w:r>
          </w:p>
        </w:tc>
      </w:tr>
      <w:tr w14:paraId="28A6994D">
        <w:tblPrEx>
          <w:tblCellMar>
            <w:top w:w="15" w:type="dxa"/>
            <w:left w:w="15" w:type="dxa"/>
            <w:bottom w:w="15" w:type="dxa"/>
            <w:right w:w="15" w:type="dxa"/>
          </w:tblCellMar>
        </w:tblPrEx>
        <w:trPr>
          <w:trHeight w:val="48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5FDF1">
            <w:pPr>
              <w:pStyle w:val="3"/>
              <w:rPr>
                <w:rFonts w:hint="default" w:ascii="Times New Roman" w:hAnsi="Times New Roman" w:cs="Times New Roman"/>
              </w:rPr>
            </w:pPr>
            <w:r>
              <w:rPr>
                <w:rFonts w:hint="default" w:ascii="Times New Roman" w:hAnsi="Times New Roman" w:cs="Times New Roman"/>
              </w:rPr>
              <w:t>DeepSeek</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6E8D3">
            <w:pPr>
              <w:pStyle w:val="3"/>
              <w:rPr>
                <w:rFonts w:hint="default" w:ascii="Times New Roman" w:hAnsi="Times New Roman" w:cs="Times New Roman"/>
              </w:rPr>
            </w:pPr>
            <w:r>
              <w:rPr>
                <w:rFonts w:hint="default" w:ascii="Times New Roman" w:hAnsi="Times New Roman" w:cs="Times New Roman"/>
              </w:rPr>
              <w:t>DeepSeek-R1-Distill-Qwen-32B</w:t>
            </w:r>
          </w:p>
        </w:tc>
      </w:tr>
      <w:tr w14:paraId="6AB40D63">
        <w:tblPrEx>
          <w:tblCellMar>
            <w:top w:w="15" w:type="dxa"/>
            <w:left w:w="15" w:type="dxa"/>
            <w:bottom w:w="15" w:type="dxa"/>
            <w:right w:w="15" w:type="dxa"/>
          </w:tblCellMar>
        </w:tblPrEx>
        <w:trPr>
          <w:trHeight w:val="48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3B667">
            <w:pPr>
              <w:pStyle w:val="3"/>
              <w:rPr>
                <w:rFonts w:hint="default" w:ascii="Times New Roman" w:hAnsi="Times New Roman" w:cs="Times New Roman"/>
              </w:rPr>
            </w:pPr>
            <w:r>
              <w:rPr>
                <w:rFonts w:hint="default" w:ascii="Times New Roman" w:hAnsi="Times New Roman" w:cs="Times New Roman"/>
              </w:rPr>
              <w:t>DeepSeek</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F2EA7">
            <w:pPr>
              <w:pStyle w:val="3"/>
              <w:rPr>
                <w:rFonts w:hint="default" w:ascii="Times New Roman" w:hAnsi="Times New Roman" w:cs="Times New Roman"/>
              </w:rPr>
            </w:pPr>
            <w:r>
              <w:rPr>
                <w:rFonts w:hint="default" w:ascii="Times New Roman" w:hAnsi="Times New Roman" w:cs="Times New Roman"/>
              </w:rPr>
              <w:t>DeepSeek-R1-Distill-Llama-8B</w:t>
            </w:r>
          </w:p>
        </w:tc>
      </w:tr>
      <w:tr w14:paraId="01AB05FA">
        <w:tblPrEx>
          <w:tblCellMar>
            <w:top w:w="15" w:type="dxa"/>
            <w:left w:w="15" w:type="dxa"/>
            <w:bottom w:w="15" w:type="dxa"/>
            <w:right w:w="15" w:type="dxa"/>
          </w:tblCellMar>
        </w:tblPrEx>
        <w:trPr>
          <w:trHeight w:val="48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B39BC">
            <w:pPr>
              <w:pStyle w:val="3"/>
              <w:rPr>
                <w:rFonts w:hint="default" w:ascii="Times New Roman" w:hAnsi="Times New Roman" w:cs="Times New Roman"/>
              </w:rPr>
            </w:pPr>
            <w:r>
              <w:rPr>
                <w:rFonts w:hint="default" w:ascii="Times New Roman" w:hAnsi="Times New Roman" w:cs="Times New Roman"/>
              </w:rPr>
              <w:t>DeepSeek</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CE237">
            <w:pPr>
              <w:pStyle w:val="3"/>
              <w:rPr>
                <w:rFonts w:hint="default" w:ascii="Times New Roman" w:hAnsi="Times New Roman" w:cs="Times New Roman"/>
              </w:rPr>
            </w:pPr>
            <w:r>
              <w:rPr>
                <w:rFonts w:hint="default" w:ascii="Times New Roman" w:hAnsi="Times New Roman" w:cs="Times New Roman"/>
              </w:rPr>
              <w:t>DeepSeek-R1-Distill-Llama-70B</w:t>
            </w:r>
          </w:p>
        </w:tc>
      </w:tr>
      <w:tr w14:paraId="36B49051">
        <w:tblPrEx>
          <w:tblCellMar>
            <w:top w:w="15" w:type="dxa"/>
            <w:left w:w="15" w:type="dxa"/>
            <w:bottom w:w="15" w:type="dxa"/>
            <w:right w:w="15" w:type="dxa"/>
          </w:tblCellMar>
        </w:tblPrEx>
        <w:trPr>
          <w:trHeight w:val="48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D5F15">
            <w:pPr>
              <w:pStyle w:val="3"/>
              <w:rPr>
                <w:rFonts w:hint="default" w:ascii="Times New Roman" w:hAnsi="Times New Roman" w:cs="Times New Roman"/>
              </w:rPr>
            </w:pPr>
            <w:r>
              <w:rPr>
                <w:rFonts w:hint="default" w:ascii="Times New Roman" w:hAnsi="Times New Roman" w:cs="Times New Roman"/>
              </w:rPr>
              <w:t>Qwen</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80C6C">
            <w:pPr>
              <w:pStyle w:val="3"/>
              <w:rPr>
                <w:rFonts w:hint="default" w:ascii="Times New Roman" w:hAnsi="Times New Roman" w:cs="Times New Roman"/>
              </w:rPr>
            </w:pPr>
            <w:r>
              <w:rPr>
                <w:rFonts w:hint="default" w:ascii="Times New Roman" w:hAnsi="Times New Roman" w:cs="Times New Roman"/>
              </w:rPr>
              <w:t>Qwen2.5-32B-Instruct</w:t>
            </w:r>
          </w:p>
        </w:tc>
      </w:tr>
      <w:tr w14:paraId="47094402">
        <w:tblPrEx>
          <w:tblCellMar>
            <w:top w:w="15" w:type="dxa"/>
            <w:left w:w="15" w:type="dxa"/>
            <w:bottom w:w="15" w:type="dxa"/>
            <w:right w:w="15" w:type="dxa"/>
          </w:tblCellMar>
        </w:tblPrEx>
        <w:trPr>
          <w:trHeight w:val="48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1EFD6">
            <w:pPr>
              <w:pStyle w:val="3"/>
              <w:rPr>
                <w:rFonts w:hint="default" w:ascii="Times New Roman" w:hAnsi="Times New Roman" w:cs="Times New Roman"/>
              </w:rPr>
            </w:pPr>
            <w:r>
              <w:rPr>
                <w:rFonts w:hint="default" w:ascii="Times New Roman" w:hAnsi="Times New Roman" w:cs="Times New Roman"/>
              </w:rPr>
              <w:t>Qwen</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7D4B7">
            <w:pPr>
              <w:pStyle w:val="3"/>
              <w:rPr>
                <w:rFonts w:hint="default" w:ascii="Times New Roman" w:hAnsi="Times New Roman" w:cs="Times New Roman"/>
              </w:rPr>
            </w:pPr>
            <w:r>
              <w:rPr>
                <w:rFonts w:hint="default" w:ascii="Times New Roman" w:hAnsi="Times New Roman" w:cs="Times New Roman"/>
              </w:rPr>
              <w:t>Qwen2.5-72B-Instruct</w:t>
            </w:r>
          </w:p>
        </w:tc>
      </w:tr>
      <w:tr w14:paraId="1D47554C">
        <w:tblPrEx>
          <w:tblCellMar>
            <w:top w:w="15" w:type="dxa"/>
            <w:left w:w="15" w:type="dxa"/>
            <w:bottom w:w="15" w:type="dxa"/>
            <w:right w:w="15" w:type="dxa"/>
          </w:tblCellMar>
        </w:tblPrEx>
        <w:trPr>
          <w:trHeight w:val="48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3CAB8">
            <w:pPr>
              <w:pStyle w:val="3"/>
              <w:rPr>
                <w:rFonts w:hint="default" w:ascii="Times New Roman" w:hAnsi="Times New Roman" w:cs="Times New Roman"/>
              </w:rPr>
            </w:pPr>
            <w:r>
              <w:rPr>
                <w:rFonts w:hint="default" w:ascii="Times New Roman" w:hAnsi="Times New Roman" w:cs="Times New Roman"/>
              </w:rPr>
              <w:t>Qwen</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E81F5">
            <w:pPr>
              <w:pStyle w:val="3"/>
              <w:rPr>
                <w:rFonts w:hint="default" w:ascii="Times New Roman" w:hAnsi="Times New Roman" w:cs="Times New Roman"/>
              </w:rPr>
            </w:pPr>
            <w:r>
              <w:rPr>
                <w:rFonts w:hint="default" w:ascii="Times New Roman" w:hAnsi="Times New Roman" w:cs="Times New Roman"/>
              </w:rPr>
              <w:t>Qwen1.5-0.5B</w:t>
            </w:r>
          </w:p>
        </w:tc>
      </w:tr>
      <w:tr w14:paraId="0A894A60">
        <w:tblPrEx>
          <w:tblCellMar>
            <w:top w:w="15" w:type="dxa"/>
            <w:left w:w="15" w:type="dxa"/>
            <w:bottom w:w="15" w:type="dxa"/>
            <w:right w:w="15" w:type="dxa"/>
          </w:tblCellMar>
        </w:tblPrEx>
        <w:trPr>
          <w:trHeight w:val="48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73396">
            <w:pPr>
              <w:pStyle w:val="3"/>
              <w:rPr>
                <w:rFonts w:hint="default" w:ascii="Times New Roman" w:hAnsi="Times New Roman" w:cs="Times New Roman"/>
              </w:rPr>
            </w:pPr>
            <w:r>
              <w:rPr>
                <w:rFonts w:hint="default" w:ascii="Times New Roman" w:hAnsi="Times New Roman" w:cs="Times New Roman"/>
              </w:rPr>
              <w:t>Qwen</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4132C">
            <w:pPr>
              <w:pStyle w:val="3"/>
              <w:rPr>
                <w:rFonts w:hint="default" w:ascii="Times New Roman" w:hAnsi="Times New Roman" w:cs="Times New Roman"/>
              </w:rPr>
            </w:pPr>
            <w:r>
              <w:rPr>
                <w:rFonts w:hint="default" w:ascii="Times New Roman" w:hAnsi="Times New Roman" w:cs="Times New Roman"/>
              </w:rPr>
              <w:t>Qwen1.5-14B-Chat-GPTQ-Int4</w:t>
            </w:r>
          </w:p>
        </w:tc>
      </w:tr>
      <w:tr w14:paraId="1A7B0C4B">
        <w:tblPrEx>
          <w:tblCellMar>
            <w:top w:w="15" w:type="dxa"/>
            <w:left w:w="15" w:type="dxa"/>
            <w:bottom w:w="15" w:type="dxa"/>
            <w:right w:w="15" w:type="dxa"/>
          </w:tblCellMar>
        </w:tblPrEx>
        <w:trPr>
          <w:trHeight w:val="48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281D7">
            <w:pPr>
              <w:pStyle w:val="3"/>
              <w:rPr>
                <w:rFonts w:hint="default" w:ascii="Times New Roman" w:hAnsi="Times New Roman" w:cs="Times New Roman"/>
              </w:rPr>
            </w:pPr>
            <w:r>
              <w:rPr>
                <w:rFonts w:hint="default" w:ascii="Times New Roman" w:hAnsi="Times New Roman" w:cs="Times New Roman"/>
              </w:rPr>
              <w:t>Qwen</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9A48E">
            <w:pPr>
              <w:pStyle w:val="3"/>
              <w:rPr>
                <w:rFonts w:hint="default" w:ascii="Times New Roman" w:hAnsi="Times New Roman" w:cs="Times New Roman"/>
              </w:rPr>
            </w:pPr>
            <w:r>
              <w:rPr>
                <w:rFonts w:hint="default" w:ascii="Times New Roman" w:hAnsi="Times New Roman" w:cs="Times New Roman"/>
              </w:rPr>
              <w:t>Qwen2.5-7B-Instruct-GPTQ-Int8</w:t>
            </w:r>
          </w:p>
        </w:tc>
      </w:tr>
      <w:tr w14:paraId="3C4941A3">
        <w:tblPrEx>
          <w:tblCellMar>
            <w:top w:w="15" w:type="dxa"/>
            <w:left w:w="15" w:type="dxa"/>
            <w:bottom w:w="15" w:type="dxa"/>
            <w:right w:w="15" w:type="dxa"/>
          </w:tblCellMar>
        </w:tblPrEx>
        <w:trPr>
          <w:trHeight w:val="54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A54B5">
            <w:pPr>
              <w:pStyle w:val="3"/>
              <w:rPr>
                <w:rFonts w:hint="default" w:ascii="Times New Roman" w:hAnsi="Times New Roman" w:cs="Times New Roman"/>
              </w:rPr>
            </w:pPr>
            <w:r>
              <w:rPr>
                <w:rFonts w:hint="default" w:ascii="Times New Roman" w:hAnsi="Times New Roman" w:cs="Times New Roman"/>
              </w:rPr>
              <w:t>Qwen</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540A8">
            <w:pPr>
              <w:pStyle w:val="3"/>
              <w:rPr>
                <w:rFonts w:hint="default" w:ascii="Times New Roman" w:hAnsi="Times New Roman" w:cs="Times New Roman"/>
              </w:rPr>
            </w:pPr>
            <w:r>
              <w:rPr>
                <w:rFonts w:hint="default" w:ascii="Times New Roman" w:hAnsi="Times New Roman" w:cs="Times New Roman"/>
              </w:rPr>
              <w:t>Qwen2-7B-Instruct</w:t>
            </w:r>
          </w:p>
        </w:tc>
      </w:tr>
      <w:tr w14:paraId="675697E2">
        <w:tblPrEx>
          <w:tblCellMar>
            <w:top w:w="15" w:type="dxa"/>
            <w:left w:w="15" w:type="dxa"/>
            <w:bottom w:w="15" w:type="dxa"/>
            <w:right w:w="15" w:type="dxa"/>
          </w:tblCellMar>
        </w:tblPrEx>
        <w:trPr>
          <w:trHeight w:val="52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1E137">
            <w:pPr>
              <w:pStyle w:val="3"/>
              <w:rPr>
                <w:rFonts w:hint="default" w:ascii="Times New Roman" w:hAnsi="Times New Roman" w:cs="Times New Roman"/>
              </w:rPr>
            </w:pPr>
            <w:r>
              <w:rPr>
                <w:rFonts w:hint="default" w:ascii="Times New Roman" w:hAnsi="Times New Roman" w:cs="Times New Roman"/>
              </w:rPr>
              <w:t>Qwen</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20A9B">
            <w:pPr>
              <w:pStyle w:val="3"/>
              <w:rPr>
                <w:rFonts w:hint="default" w:ascii="Times New Roman" w:hAnsi="Times New Roman" w:cs="Times New Roman"/>
              </w:rPr>
            </w:pPr>
            <w:r>
              <w:rPr>
                <w:rFonts w:hint="default" w:ascii="Times New Roman" w:hAnsi="Times New Roman" w:cs="Times New Roman"/>
              </w:rPr>
              <w:t>Qwen-VL-Chat（多模态-图像识别）</w:t>
            </w:r>
          </w:p>
        </w:tc>
      </w:tr>
      <w:tr w14:paraId="0691EF57">
        <w:tblPrEx>
          <w:tblCellMar>
            <w:top w:w="15" w:type="dxa"/>
            <w:left w:w="15" w:type="dxa"/>
            <w:bottom w:w="15" w:type="dxa"/>
            <w:right w:w="15" w:type="dxa"/>
          </w:tblCellMar>
        </w:tblPrEx>
        <w:trPr>
          <w:trHeight w:val="52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6FFD9">
            <w:pPr>
              <w:pStyle w:val="3"/>
              <w:rPr>
                <w:rFonts w:hint="default" w:ascii="Times New Roman" w:hAnsi="Times New Roman" w:cs="Times New Roman"/>
              </w:rPr>
            </w:pPr>
            <w:r>
              <w:rPr>
                <w:rFonts w:hint="default" w:ascii="Times New Roman" w:hAnsi="Times New Roman" w:cs="Times New Roman"/>
              </w:rPr>
              <w:t>Qwen</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20DA1">
            <w:pPr>
              <w:pStyle w:val="3"/>
              <w:rPr>
                <w:rFonts w:hint="default" w:ascii="Times New Roman" w:hAnsi="Times New Roman" w:cs="Times New Roman"/>
              </w:rPr>
            </w:pPr>
            <w:r>
              <w:rPr>
                <w:rFonts w:hint="default" w:ascii="Times New Roman" w:hAnsi="Times New Roman" w:cs="Times New Roman"/>
              </w:rPr>
              <w:t>Qwen2-Audio-7B-Instruct（多模态-语音）</w:t>
            </w:r>
          </w:p>
        </w:tc>
      </w:tr>
      <w:tr w14:paraId="08B3B7F3">
        <w:tblPrEx>
          <w:tblCellMar>
            <w:top w:w="15" w:type="dxa"/>
            <w:left w:w="15" w:type="dxa"/>
            <w:bottom w:w="15" w:type="dxa"/>
            <w:right w:w="15" w:type="dxa"/>
          </w:tblCellMar>
        </w:tblPrEx>
        <w:trPr>
          <w:trHeight w:val="52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E3629">
            <w:pPr>
              <w:pStyle w:val="3"/>
              <w:rPr>
                <w:rFonts w:hint="default" w:ascii="Times New Roman" w:hAnsi="Times New Roman" w:cs="Times New Roman"/>
              </w:rPr>
            </w:pPr>
            <w:r>
              <w:rPr>
                <w:rFonts w:hint="default" w:ascii="Times New Roman" w:hAnsi="Times New Roman" w:cs="Times New Roman"/>
              </w:rPr>
              <w:t>Qwen</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678D5">
            <w:pPr>
              <w:pStyle w:val="3"/>
              <w:rPr>
                <w:rFonts w:hint="default" w:ascii="Times New Roman" w:hAnsi="Times New Roman" w:cs="Times New Roman"/>
              </w:rPr>
            </w:pPr>
            <w:r>
              <w:rPr>
                <w:rFonts w:hint="default" w:ascii="Times New Roman" w:hAnsi="Times New Roman" w:cs="Times New Roman"/>
              </w:rPr>
              <w:t>CodeQwen1.5-7B-Chat</w:t>
            </w:r>
          </w:p>
        </w:tc>
      </w:tr>
      <w:tr w14:paraId="049FCCF9">
        <w:tblPrEx>
          <w:tblCellMar>
            <w:top w:w="15" w:type="dxa"/>
            <w:left w:w="15" w:type="dxa"/>
            <w:bottom w:w="15" w:type="dxa"/>
            <w:right w:w="15" w:type="dxa"/>
          </w:tblCellMar>
        </w:tblPrEx>
        <w:trPr>
          <w:trHeight w:val="40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7E82E">
            <w:pPr>
              <w:pStyle w:val="3"/>
              <w:rPr>
                <w:rFonts w:hint="default" w:ascii="Times New Roman" w:hAnsi="Times New Roman" w:cs="Times New Roman"/>
              </w:rPr>
            </w:pPr>
            <w:r>
              <w:rPr>
                <w:rFonts w:hint="default" w:ascii="Times New Roman" w:hAnsi="Times New Roman" w:cs="Times New Roman"/>
              </w:rPr>
              <w:t>GLM</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93BA7">
            <w:pPr>
              <w:pStyle w:val="3"/>
              <w:rPr>
                <w:rFonts w:hint="default" w:ascii="Times New Roman" w:hAnsi="Times New Roman" w:cs="Times New Roman"/>
              </w:rPr>
            </w:pPr>
            <w:r>
              <w:rPr>
                <w:rFonts w:hint="default" w:ascii="Times New Roman" w:hAnsi="Times New Roman" w:cs="Times New Roman"/>
              </w:rPr>
              <w:t>GLM-4-9b-chat</w:t>
            </w:r>
          </w:p>
        </w:tc>
      </w:tr>
      <w:tr w14:paraId="3108B872">
        <w:tblPrEx>
          <w:tblCellMar>
            <w:top w:w="15" w:type="dxa"/>
            <w:left w:w="15" w:type="dxa"/>
            <w:bottom w:w="15" w:type="dxa"/>
            <w:right w:w="15" w:type="dxa"/>
          </w:tblCellMar>
        </w:tblPrEx>
        <w:trPr>
          <w:trHeight w:val="400" w:hRule="atLeast"/>
          <w:jc w:val="center"/>
        </w:trPr>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7F753">
            <w:pPr>
              <w:pStyle w:val="3"/>
              <w:rPr>
                <w:rFonts w:hint="default" w:ascii="Times New Roman" w:hAnsi="Times New Roman" w:cs="Times New Roman"/>
              </w:rPr>
            </w:pPr>
            <w:r>
              <w:rPr>
                <w:rFonts w:hint="default" w:ascii="Times New Roman" w:hAnsi="Times New Roman" w:cs="Times New Roman"/>
              </w:rPr>
              <w:t>OpenGVLab</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1CFD3">
            <w:pPr>
              <w:pStyle w:val="3"/>
              <w:rPr>
                <w:rFonts w:hint="default" w:ascii="Times New Roman" w:hAnsi="Times New Roman" w:cs="Times New Roman"/>
              </w:rPr>
            </w:pPr>
            <w:r>
              <w:rPr>
                <w:rFonts w:hint="default" w:ascii="Times New Roman" w:hAnsi="Times New Roman" w:cs="Times New Roman"/>
              </w:rPr>
              <w:t>InternVL2-8B（多模态-图像理解）</w:t>
            </w:r>
          </w:p>
        </w:tc>
      </w:tr>
      <w:tr w14:paraId="69325625">
        <w:tblPrEx>
          <w:tblCellMar>
            <w:top w:w="15" w:type="dxa"/>
            <w:left w:w="15" w:type="dxa"/>
            <w:bottom w:w="15" w:type="dxa"/>
            <w:right w:w="15" w:type="dxa"/>
          </w:tblCellMar>
        </w:tblPrEx>
        <w:trPr>
          <w:trHeight w:val="400" w:hRule="atLeast"/>
          <w:jc w:val="center"/>
        </w:trPr>
        <w:tc>
          <w:tcPr>
            <w:tcW w:w="1840" w:type="dxa"/>
            <w:tcBorders>
              <w:top w:val="single" w:color="000000" w:sz="4" w:space="0"/>
              <w:left w:val="single" w:color="000000" w:sz="4" w:space="0"/>
              <w:bottom w:val="single" w:color="000000" w:sz="4" w:space="0"/>
            </w:tcBorders>
            <w:shd w:val="clear" w:color="auto" w:fill="auto"/>
            <w:vAlign w:val="center"/>
          </w:tcPr>
          <w:p w14:paraId="439EE349">
            <w:pPr>
              <w:pStyle w:val="3"/>
              <w:rPr>
                <w:rFonts w:hint="default" w:ascii="Times New Roman" w:hAnsi="Times New Roman" w:cs="Times New Roman"/>
              </w:rPr>
            </w:pPr>
            <w:bookmarkStart w:id="119" w:name="OLE_LINK1"/>
            <w:r>
              <w:rPr>
                <w:rFonts w:hint="default" w:ascii="Times New Roman" w:hAnsi="Times New Roman" w:cs="Times New Roman"/>
              </w:rPr>
              <w:t>九天</w:t>
            </w:r>
            <w:bookmarkEnd w:id="119"/>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7B89A">
            <w:pPr>
              <w:pStyle w:val="3"/>
              <w:rPr>
                <w:rFonts w:hint="default" w:ascii="Times New Roman" w:hAnsi="Times New Roman" w:cs="Times New Roman"/>
              </w:rPr>
            </w:pPr>
            <w:r>
              <w:rPr>
                <w:rFonts w:hint="default" w:ascii="Times New Roman" w:hAnsi="Times New Roman" w:cs="Times New Roman"/>
              </w:rPr>
              <w:t>JIUTIAN-57B-32K</w:t>
            </w:r>
          </w:p>
        </w:tc>
      </w:tr>
      <w:tr w14:paraId="4388747E">
        <w:tblPrEx>
          <w:tblCellMar>
            <w:top w:w="15" w:type="dxa"/>
            <w:left w:w="15" w:type="dxa"/>
            <w:bottom w:w="15" w:type="dxa"/>
            <w:right w:w="15" w:type="dxa"/>
          </w:tblCellMar>
        </w:tblPrEx>
        <w:trPr>
          <w:trHeight w:val="400" w:hRule="atLeast"/>
          <w:jc w:val="center"/>
        </w:trPr>
        <w:tc>
          <w:tcPr>
            <w:tcW w:w="1840" w:type="dxa"/>
            <w:tcBorders>
              <w:top w:val="single" w:color="000000" w:sz="4" w:space="0"/>
              <w:left w:val="single" w:color="000000" w:sz="4" w:space="0"/>
              <w:bottom w:val="single" w:color="000000" w:sz="4" w:space="0"/>
            </w:tcBorders>
            <w:shd w:val="clear" w:color="auto" w:fill="auto"/>
            <w:vAlign w:val="center"/>
          </w:tcPr>
          <w:p w14:paraId="6E235471">
            <w:pPr>
              <w:pStyle w:val="3"/>
              <w:rPr>
                <w:rFonts w:hint="default" w:ascii="Times New Roman" w:hAnsi="Times New Roman" w:cs="Times New Roman"/>
              </w:rPr>
            </w:pPr>
            <w:r>
              <w:rPr>
                <w:rFonts w:hint="default" w:ascii="Times New Roman" w:hAnsi="Times New Roman" w:cs="Times New Roman"/>
              </w:rPr>
              <w:t>九天</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BAD24">
            <w:pPr>
              <w:pStyle w:val="3"/>
              <w:rPr>
                <w:rFonts w:hint="default" w:ascii="Times New Roman" w:hAnsi="Times New Roman" w:cs="Times New Roman"/>
              </w:rPr>
            </w:pPr>
            <w:r>
              <w:rPr>
                <w:rFonts w:hint="default" w:ascii="Times New Roman" w:hAnsi="Times New Roman" w:cs="Times New Roman"/>
              </w:rPr>
              <w:t>JIUTIAN-13.9B</w:t>
            </w:r>
          </w:p>
        </w:tc>
      </w:tr>
      <w:tr w14:paraId="2E8CA6C1">
        <w:tblPrEx>
          <w:tblCellMar>
            <w:top w:w="15" w:type="dxa"/>
            <w:left w:w="15" w:type="dxa"/>
            <w:bottom w:w="15" w:type="dxa"/>
            <w:right w:w="15" w:type="dxa"/>
          </w:tblCellMar>
        </w:tblPrEx>
        <w:trPr>
          <w:trHeight w:val="400" w:hRule="atLeast"/>
          <w:jc w:val="center"/>
        </w:trPr>
        <w:tc>
          <w:tcPr>
            <w:tcW w:w="1840" w:type="dxa"/>
            <w:tcBorders>
              <w:top w:val="single" w:color="000000" w:sz="4" w:space="0"/>
              <w:left w:val="single" w:color="000000" w:sz="4" w:space="0"/>
              <w:bottom w:val="single" w:color="000000" w:sz="4" w:space="0"/>
            </w:tcBorders>
            <w:shd w:val="clear" w:color="auto" w:fill="auto"/>
            <w:vAlign w:val="center"/>
          </w:tcPr>
          <w:p w14:paraId="442E4FF7">
            <w:pPr>
              <w:pStyle w:val="3"/>
              <w:rPr>
                <w:rFonts w:hint="default" w:ascii="Times New Roman" w:hAnsi="Times New Roman" w:cs="Times New Roman"/>
              </w:rPr>
            </w:pPr>
            <w:r>
              <w:rPr>
                <w:rFonts w:hint="default" w:ascii="Times New Roman" w:hAnsi="Times New Roman" w:cs="Times New Roman"/>
              </w:rPr>
              <w:t>九天</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5152A">
            <w:pPr>
              <w:pStyle w:val="3"/>
              <w:rPr>
                <w:rFonts w:hint="default" w:ascii="Times New Roman" w:hAnsi="Times New Roman" w:cs="Times New Roman"/>
              </w:rPr>
            </w:pPr>
            <w:r>
              <w:rPr>
                <w:rFonts w:hint="default" w:ascii="Times New Roman" w:hAnsi="Times New Roman" w:cs="Times New Roman"/>
              </w:rPr>
              <w:t>JIUTIAN-13-9B-4k-base</w:t>
            </w:r>
          </w:p>
        </w:tc>
      </w:tr>
      <w:tr w14:paraId="303BA1C2">
        <w:tblPrEx>
          <w:tblCellMar>
            <w:top w:w="15" w:type="dxa"/>
            <w:left w:w="15" w:type="dxa"/>
            <w:bottom w:w="15" w:type="dxa"/>
            <w:right w:w="15" w:type="dxa"/>
          </w:tblCellMar>
        </w:tblPrEx>
        <w:trPr>
          <w:trHeight w:val="400" w:hRule="atLeast"/>
          <w:jc w:val="center"/>
        </w:trPr>
        <w:tc>
          <w:tcPr>
            <w:tcW w:w="1840" w:type="dxa"/>
            <w:tcBorders>
              <w:top w:val="single" w:color="000000" w:sz="4" w:space="0"/>
              <w:left w:val="single" w:color="000000" w:sz="4" w:space="0"/>
              <w:bottom w:val="single" w:color="000000" w:sz="4" w:space="0"/>
            </w:tcBorders>
            <w:shd w:val="clear" w:color="auto" w:fill="auto"/>
            <w:vAlign w:val="center"/>
          </w:tcPr>
          <w:p w14:paraId="69D5D94F">
            <w:pPr>
              <w:pStyle w:val="3"/>
              <w:rPr>
                <w:rFonts w:hint="default" w:ascii="Times New Roman" w:hAnsi="Times New Roman" w:cs="Times New Roman"/>
              </w:rPr>
            </w:pPr>
            <w:r>
              <w:rPr>
                <w:rFonts w:hint="default" w:ascii="Times New Roman" w:hAnsi="Times New Roman" w:cs="Times New Roman"/>
              </w:rPr>
              <w:t>九天</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6D5B6">
            <w:pPr>
              <w:pStyle w:val="3"/>
              <w:rPr>
                <w:rFonts w:hint="default" w:ascii="Times New Roman" w:hAnsi="Times New Roman" w:cs="Times New Roman"/>
              </w:rPr>
            </w:pPr>
            <w:r>
              <w:rPr>
                <w:rFonts w:hint="default" w:ascii="Times New Roman" w:hAnsi="Times New Roman" w:cs="Times New Roman"/>
              </w:rPr>
              <w:t>JIUTIAN-13-9B-32k-chat</w:t>
            </w:r>
          </w:p>
        </w:tc>
      </w:tr>
      <w:tr w14:paraId="06B1ADD6">
        <w:tblPrEx>
          <w:tblCellMar>
            <w:top w:w="15" w:type="dxa"/>
            <w:left w:w="15" w:type="dxa"/>
            <w:bottom w:w="15" w:type="dxa"/>
            <w:right w:w="15" w:type="dxa"/>
          </w:tblCellMar>
        </w:tblPrEx>
        <w:trPr>
          <w:trHeight w:val="400" w:hRule="atLeast"/>
          <w:jc w:val="center"/>
        </w:trPr>
        <w:tc>
          <w:tcPr>
            <w:tcW w:w="1840" w:type="dxa"/>
            <w:tcBorders>
              <w:top w:val="single" w:color="000000" w:sz="4" w:space="0"/>
              <w:left w:val="single" w:color="000000" w:sz="4" w:space="0"/>
              <w:bottom w:val="single" w:color="000000" w:sz="4" w:space="0"/>
            </w:tcBorders>
            <w:shd w:val="clear" w:color="auto" w:fill="auto"/>
            <w:vAlign w:val="center"/>
          </w:tcPr>
          <w:p w14:paraId="674D60C1">
            <w:pPr>
              <w:pStyle w:val="3"/>
              <w:rPr>
                <w:rFonts w:hint="default" w:ascii="Times New Roman" w:hAnsi="Times New Roman" w:cs="Times New Roman"/>
              </w:rPr>
            </w:pPr>
            <w:r>
              <w:rPr>
                <w:rFonts w:hint="default" w:ascii="Times New Roman" w:hAnsi="Times New Roman" w:cs="Times New Roman"/>
              </w:rPr>
              <w:t>九天</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C5044">
            <w:pPr>
              <w:pStyle w:val="3"/>
              <w:rPr>
                <w:rFonts w:hint="default" w:ascii="Times New Roman" w:hAnsi="Times New Roman" w:cs="Times New Roman"/>
              </w:rPr>
            </w:pPr>
            <w:r>
              <w:rPr>
                <w:rFonts w:hint="default" w:ascii="Times New Roman" w:hAnsi="Times New Roman" w:cs="Times New Roman"/>
              </w:rPr>
              <w:t>JIUTIAN-57B-4k-chat</w:t>
            </w:r>
          </w:p>
        </w:tc>
      </w:tr>
      <w:tr w14:paraId="3A1A6950">
        <w:tblPrEx>
          <w:tblCellMar>
            <w:top w:w="15" w:type="dxa"/>
            <w:left w:w="15" w:type="dxa"/>
            <w:bottom w:w="15" w:type="dxa"/>
            <w:right w:w="15" w:type="dxa"/>
          </w:tblCellMar>
        </w:tblPrEx>
        <w:trPr>
          <w:trHeight w:val="400" w:hRule="atLeast"/>
          <w:jc w:val="center"/>
        </w:trPr>
        <w:tc>
          <w:tcPr>
            <w:tcW w:w="1840" w:type="dxa"/>
            <w:tcBorders>
              <w:top w:val="single" w:color="000000" w:sz="4" w:space="0"/>
              <w:left w:val="single" w:color="000000" w:sz="4" w:space="0"/>
              <w:bottom w:val="single" w:color="000000" w:sz="4" w:space="0"/>
            </w:tcBorders>
            <w:shd w:val="clear" w:color="auto" w:fill="auto"/>
            <w:vAlign w:val="center"/>
          </w:tcPr>
          <w:p w14:paraId="2233DBB4">
            <w:pPr>
              <w:pStyle w:val="3"/>
              <w:rPr>
                <w:rFonts w:hint="default" w:ascii="Times New Roman" w:hAnsi="Times New Roman" w:cs="Times New Roman"/>
              </w:rPr>
            </w:pPr>
            <w:r>
              <w:rPr>
                <w:rFonts w:hint="default" w:ascii="Times New Roman" w:hAnsi="Times New Roman" w:cs="Times New Roman"/>
              </w:rPr>
              <w:t>九天</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62449">
            <w:pPr>
              <w:pStyle w:val="3"/>
              <w:rPr>
                <w:rFonts w:hint="default" w:ascii="Times New Roman" w:hAnsi="Times New Roman" w:cs="Times New Roman"/>
              </w:rPr>
            </w:pPr>
            <w:r>
              <w:rPr>
                <w:rFonts w:hint="default" w:ascii="Times New Roman" w:hAnsi="Times New Roman" w:cs="Times New Roman"/>
              </w:rPr>
              <w:t>JIUTIAN-57B-4k-base</w:t>
            </w:r>
          </w:p>
        </w:tc>
      </w:tr>
      <w:tr w14:paraId="29B98367">
        <w:tblPrEx>
          <w:tblCellMar>
            <w:top w:w="15" w:type="dxa"/>
            <w:left w:w="15" w:type="dxa"/>
            <w:bottom w:w="15" w:type="dxa"/>
            <w:right w:w="15" w:type="dxa"/>
          </w:tblCellMar>
        </w:tblPrEx>
        <w:trPr>
          <w:trHeight w:val="400" w:hRule="atLeast"/>
          <w:jc w:val="center"/>
        </w:trPr>
        <w:tc>
          <w:tcPr>
            <w:tcW w:w="1840" w:type="dxa"/>
            <w:tcBorders>
              <w:top w:val="single" w:color="000000" w:sz="4" w:space="0"/>
              <w:left w:val="single" w:color="000000" w:sz="4" w:space="0"/>
              <w:bottom w:val="single" w:color="000000" w:sz="4" w:space="0"/>
            </w:tcBorders>
            <w:shd w:val="clear" w:color="auto" w:fill="auto"/>
            <w:vAlign w:val="center"/>
          </w:tcPr>
          <w:p w14:paraId="082A98C0">
            <w:pPr>
              <w:pStyle w:val="3"/>
              <w:rPr>
                <w:rFonts w:hint="default" w:ascii="Times New Roman" w:hAnsi="Times New Roman" w:cs="Times New Roman"/>
              </w:rPr>
            </w:pPr>
            <w:r>
              <w:rPr>
                <w:rFonts w:hint="default" w:ascii="Times New Roman" w:hAnsi="Times New Roman" w:cs="Times New Roman"/>
              </w:rPr>
              <w:t>九天</w:t>
            </w:r>
          </w:p>
        </w:tc>
        <w:tc>
          <w:tcPr>
            <w:tcW w:w="4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9536C">
            <w:pPr>
              <w:pStyle w:val="3"/>
              <w:rPr>
                <w:rFonts w:hint="default" w:ascii="Times New Roman" w:hAnsi="Times New Roman" w:cs="Times New Roman"/>
              </w:rPr>
            </w:pPr>
            <w:r>
              <w:rPr>
                <w:rFonts w:hint="default" w:ascii="Times New Roman" w:hAnsi="Times New Roman" w:cs="Times New Roman"/>
              </w:rPr>
              <w:t>JIUTIAN-75B-8k-chat</w:t>
            </w:r>
          </w:p>
        </w:tc>
      </w:tr>
      <w:tr w14:paraId="4941733D">
        <w:tblPrEx>
          <w:tblCellMar>
            <w:top w:w="15" w:type="dxa"/>
            <w:left w:w="15" w:type="dxa"/>
            <w:bottom w:w="15" w:type="dxa"/>
            <w:right w:w="15" w:type="dxa"/>
          </w:tblCellMar>
        </w:tblPrEx>
        <w:trPr>
          <w:trHeight w:val="400" w:hRule="atLeast"/>
          <w:jc w:val="center"/>
        </w:trPr>
        <w:tc>
          <w:tcPr>
            <w:tcW w:w="1840" w:type="dxa"/>
            <w:tcBorders>
              <w:top w:val="single" w:color="000000" w:sz="4" w:space="0"/>
              <w:left w:val="single" w:color="000000" w:sz="4" w:space="0"/>
              <w:bottom w:val="single" w:color="auto" w:sz="4" w:space="0"/>
            </w:tcBorders>
            <w:shd w:val="clear" w:color="auto" w:fill="auto"/>
            <w:vAlign w:val="center"/>
          </w:tcPr>
          <w:p w14:paraId="6A28160A">
            <w:pPr>
              <w:pStyle w:val="3"/>
              <w:rPr>
                <w:rFonts w:hint="default" w:ascii="Times New Roman" w:hAnsi="Times New Roman" w:cs="Times New Roman"/>
              </w:rPr>
            </w:pPr>
            <w:r>
              <w:rPr>
                <w:rFonts w:hint="default" w:ascii="Times New Roman" w:hAnsi="Times New Roman" w:cs="Times New Roman"/>
              </w:rPr>
              <w:t>Qwen</w:t>
            </w:r>
          </w:p>
        </w:tc>
        <w:tc>
          <w:tcPr>
            <w:tcW w:w="4280" w:type="dxa"/>
            <w:tcBorders>
              <w:top w:val="single" w:color="000000" w:sz="4" w:space="0"/>
              <w:left w:val="single" w:color="000000" w:sz="4" w:space="0"/>
              <w:bottom w:val="single" w:color="auto" w:sz="4" w:space="0"/>
              <w:right w:val="single" w:color="000000" w:sz="4" w:space="0"/>
            </w:tcBorders>
            <w:shd w:val="clear" w:color="auto" w:fill="auto"/>
            <w:vAlign w:val="center"/>
          </w:tcPr>
          <w:p w14:paraId="7A7EE940">
            <w:pPr>
              <w:pStyle w:val="3"/>
              <w:rPr>
                <w:rFonts w:hint="default" w:ascii="Times New Roman" w:hAnsi="Times New Roman" w:cs="Times New Roman"/>
              </w:rPr>
            </w:pPr>
            <w:bookmarkStart w:id="120" w:name="_Hlk200054587"/>
            <w:r>
              <w:rPr>
                <w:rFonts w:hint="default" w:ascii="Times New Roman" w:hAnsi="Times New Roman" w:cs="Times New Roman"/>
              </w:rPr>
              <w:t>gte-Qwen2</w:t>
            </w:r>
            <w:bookmarkEnd w:id="120"/>
            <w:r>
              <w:rPr>
                <w:rFonts w:hint="default" w:ascii="Times New Roman" w:hAnsi="Times New Roman" w:cs="Times New Roman"/>
              </w:rPr>
              <w:t>-1.5B-instruct（向量化）</w:t>
            </w:r>
          </w:p>
        </w:tc>
      </w:tr>
      <w:tr w14:paraId="47DA24FD">
        <w:tblPrEx>
          <w:tblCellMar>
            <w:top w:w="15" w:type="dxa"/>
            <w:left w:w="15" w:type="dxa"/>
            <w:bottom w:w="15" w:type="dxa"/>
            <w:right w:w="15" w:type="dxa"/>
          </w:tblCellMar>
        </w:tblPrEx>
        <w:trPr>
          <w:trHeight w:val="400" w:hRule="atLeast"/>
          <w:jc w:val="center"/>
        </w:trPr>
        <w:tc>
          <w:tcPr>
            <w:tcW w:w="1840" w:type="dxa"/>
            <w:tcBorders>
              <w:top w:val="single" w:color="auto" w:sz="4" w:space="0"/>
              <w:left w:val="single" w:color="auto" w:sz="4" w:space="0"/>
              <w:bottom w:val="single" w:color="auto" w:sz="4" w:space="0"/>
            </w:tcBorders>
            <w:shd w:val="clear" w:color="auto" w:fill="auto"/>
            <w:vAlign w:val="center"/>
          </w:tcPr>
          <w:p w14:paraId="5960C7B7">
            <w:pPr>
              <w:pStyle w:val="3"/>
              <w:rPr>
                <w:rFonts w:hint="default" w:ascii="Times New Roman" w:hAnsi="Times New Roman" w:cs="Times New Roman"/>
              </w:rPr>
            </w:pPr>
            <w:bookmarkStart w:id="121" w:name="_Hlk200053748"/>
            <w:bookmarkStart w:id="122" w:name="_Hlk200053767"/>
            <w:r>
              <w:rPr>
                <w:rFonts w:hint="default" w:ascii="Times New Roman" w:hAnsi="Times New Roman" w:cs="Times New Roman"/>
              </w:rPr>
              <w:t>BAAI</w:t>
            </w:r>
            <w:bookmarkEnd w:id="121"/>
          </w:p>
        </w:tc>
        <w:tc>
          <w:tcPr>
            <w:tcW w:w="4280" w:type="dxa"/>
            <w:tcBorders>
              <w:top w:val="single" w:color="auto" w:sz="4" w:space="0"/>
              <w:left w:val="single" w:color="000000" w:sz="4" w:space="0"/>
              <w:bottom w:val="single" w:color="auto" w:sz="4" w:space="0"/>
              <w:right w:val="single" w:color="auto" w:sz="4" w:space="0"/>
            </w:tcBorders>
            <w:shd w:val="clear" w:color="auto" w:fill="auto"/>
            <w:vAlign w:val="center"/>
          </w:tcPr>
          <w:p w14:paraId="0910A0CE">
            <w:pPr>
              <w:pStyle w:val="3"/>
              <w:rPr>
                <w:rFonts w:hint="default" w:ascii="Times New Roman" w:hAnsi="Times New Roman" w:cs="Times New Roman"/>
              </w:rPr>
            </w:pPr>
            <w:bookmarkStart w:id="123" w:name="_Hlk200054604"/>
            <w:r>
              <w:rPr>
                <w:rFonts w:hint="default" w:ascii="Times New Roman" w:hAnsi="Times New Roman" w:cs="Times New Roman"/>
              </w:rPr>
              <w:t>bge-reranker</w:t>
            </w:r>
            <w:bookmarkEnd w:id="123"/>
            <w:r>
              <w:rPr>
                <w:rFonts w:hint="default" w:ascii="Times New Roman" w:hAnsi="Times New Roman" w:cs="Times New Roman"/>
              </w:rPr>
              <w:t>-v2-m3（重排序）</w:t>
            </w:r>
          </w:p>
        </w:tc>
      </w:tr>
      <w:bookmarkEnd w:id="122"/>
    </w:tbl>
    <w:p w14:paraId="797519E1">
      <w:pPr>
        <w:pStyle w:val="38"/>
        <w:numPr>
          <w:ilvl w:val="4"/>
          <w:numId w:val="1"/>
        </w:numPr>
        <w:ind w:left="992" w:leftChars="0" w:hanging="992" w:firstLineChars="0"/>
        <w:outlineLvl w:val="4"/>
        <w:rPr>
          <w:rFonts w:hint="default"/>
        </w:rPr>
      </w:pPr>
      <w:r>
        <w:rPr>
          <w:rFonts w:hint="default"/>
        </w:rPr>
        <w:t>大模型兼容支持</w:t>
      </w:r>
    </w:p>
    <w:p w14:paraId="2CB10FDD">
      <w:pPr>
        <w:ind w:firstLine="480"/>
        <w:rPr>
          <w:rFonts w:hint="default" w:ascii="Times New Roman" w:hAnsi="Times New Roman" w:cs="Times New Roman"/>
        </w:rPr>
      </w:pPr>
      <w:r>
        <w:rPr>
          <w:rFonts w:hint="default" w:ascii="Times New Roman" w:hAnsi="Times New Roman" w:cs="Times New Roman"/>
        </w:rPr>
        <w:t>平台兼容并支持不同框架的大模型，支持第三方模型的导入配置功能，新增导入模型配置内容包含但不限于归属应用、模型名称；可配置模型运行环境，支持选择模型编码语言、引擎、框架、内置镜像，及镜像版本；可选择上传途径为本地上传或者FTP上传。</w:t>
      </w:r>
    </w:p>
    <w:p w14:paraId="413216F0">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66690" cy="4102735"/>
            <wp:effectExtent l="0" t="0" r="6350" b="12065"/>
            <wp:docPr id="1247"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 name="图片 338"/>
                    <pic:cNvPicPr>
                      <a:picLocks noChangeAspect="1"/>
                    </pic:cNvPicPr>
                  </pic:nvPicPr>
                  <pic:blipFill>
                    <a:blip r:embed="rId77"/>
                    <a:stretch>
                      <a:fillRect/>
                    </a:stretch>
                  </pic:blipFill>
                  <pic:spPr>
                    <a:xfrm>
                      <a:off x="0" y="0"/>
                      <a:ext cx="5266690" cy="4102735"/>
                    </a:xfrm>
                    <a:prstGeom prst="rect">
                      <a:avLst/>
                    </a:prstGeom>
                    <a:noFill/>
                    <a:ln>
                      <a:noFill/>
                    </a:ln>
                  </pic:spPr>
                </pic:pic>
              </a:graphicData>
            </a:graphic>
          </wp:inline>
        </w:drawing>
      </w:r>
    </w:p>
    <w:p w14:paraId="01E9D661">
      <w:pPr>
        <w:ind w:firstLine="480"/>
        <w:rPr>
          <w:rFonts w:hint="default" w:ascii="Times New Roman" w:hAnsi="Times New Roman" w:cs="Times New Roman"/>
        </w:rPr>
      </w:pPr>
      <w:r>
        <w:rPr>
          <w:rFonts w:hint="default" w:ascii="Times New Roman" w:hAnsi="Times New Roman" w:cs="Times New Roman"/>
        </w:rPr>
        <w:t>可开放使用业内生成式模型能力和第三方模型及其他标准能力，提供多种模型及能力纳管方式，纳管成功后，可以在平台上部署成模型服务对外开放。</w:t>
      </w:r>
    </w:p>
    <w:p w14:paraId="7A89F472">
      <w:pPr>
        <w:ind w:firstLine="480"/>
        <w:rPr>
          <w:rFonts w:hint="default" w:ascii="Times New Roman" w:hAnsi="Times New Roman" w:cs="Times New Roman"/>
        </w:rPr>
      </w:pPr>
      <w:r>
        <w:rPr>
          <w:rFonts w:hint="default" w:ascii="Times New Roman" w:hAnsi="Times New Roman" w:cs="Times New Roman"/>
        </w:rPr>
        <w:t>支持模型以文件方式导入，对导入模型的文件无限制，对纳入平台管理的模型进行统一的版本管理、生命周期管理，并且可以导出镜像部署或直接在平台上部署成模型服务。</w:t>
      </w:r>
    </w:p>
    <w:p w14:paraId="48DF0C45">
      <w:pPr>
        <w:ind w:firstLine="480"/>
        <w:rPr>
          <w:rFonts w:hint="default" w:ascii="Times New Roman" w:hAnsi="Times New Roman" w:cs="Times New Roman"/>
        </w:rPr>
      </w:pPr>
      <w:r>
        <w:rPr>
          <w:rFonts w:hint="default" w:ascii="Times New Roman" w:hAnsi="Times New Roman" w:cs="Times New Roman"/>
        </w:rPr>
        <w:t>支持模型以镜像方式导入，能够直接纳管第三方封装好的模型推理镜像，提供统一的推理部署、运维和服务开放。</w:t>
      </w:r>
    </w:p>
    <w:p w14:paraId="7253B708">
      <w:pPr>
        <w:ind w:firstLine="480"/>
        <w:rPr>
          <w:rFonts w:hint="default" w:ascii="Times New Roman" w:hAnsi="Times New Roman" w:cs="Times New Roman"/>
        </w:rPr>
      </w:pPr>
      <w:r>
        <w:rPr>
          <w:rFonts w:hint="default" w:ascii="Times New Roman" w:hAnsi="Times New Roman" w:cs="Times New Roman"/>
        </w:rPr>
        <w:t>支持模型以代码方式导入，可以用户自建模型代码，导入平台，文件格式无限制，如zip，rar，7z，jar，war等可直接启动或解压后启动。</w:t>
      </w:r>
    </w:p>
    <w:p w14:paraId="7F907DD8">
      <w:pPr>
        <w:ind w:firstLine="480"/>
        <w:rPr>
          <w:rFonts w:hint="default" w:ascii="Times New Roman" w:hAnsi="Times New Roman" w:cs="Times New Roman"/>
        </w:rPr>
      </w:pPr>
      <w:r>
        <w:rPr>
          <w:rFonts w:hint="default" w:ascii="Times New Roman" w:hAnsi="Times New Roman" w:cs="Times New Roman"/>
        </w:rPr>
        <w:t>支持基于API形式引入，对API的权限管控、访问认证、流量控制以及对真实服务地址的屏蔽等能力。</w:t>
      </w:r>
    </w:p>
    <w:p w14:paraId="7B88D966">
      <w:pPr>
        <w:ind w:firstLine="480"/>
        <w:rPr>
          <w:rFonts w:hint="default" w:ascii="Times New Roman" w:hAnsi="Times New Roman" w:cs="Times New Roman"/>
        </w:rPr>
      </w:pPr>
      <w:r>
        <w:rPr>
          <w:rFonts w:hint="default" w:ascii="Times New Roman" w:hAnsi="Times New Roman" w:cs="Times New Roman"/>
        </w:rPr>
        <w:t>模型版本管理功能用于管理通过平台开发以及第三方导入的模型版本以及版本相关的脚本、环境信息。</w:t>
      </w:r>
    </w:p>
    <w:p w14:paraId="5DE8E650">
      <w:pPr>
        <w:ind w:firstLine="480"/>
        <w:rPr>
          <w:rFonts w:hint="default" w:ascii="Times New Roman" w:hAnsi="Times New Roman" w:cs="Times New Roman"/>
        </w:rPr>
      </w:pPr>
      <w:r>
        <w:rPr>
          <w:rFonts w:hint="default" w:ascii="Times New Roman" w:hAnsi="Times New Roman" w:cs="Times New Roman"/>
        </w:rPr>
        <w:t>模型列表：管理系统建模生成或从第三方导入的项目模型列表，一个项目应用对应一个模型。</w:t>
      </w:r>
    </w:p>
    <w:p w14:paraId="4828A41A">
      <w:pPr>
        <w:ind w:firstLine="480"/>
        <w:rPr>
          <w:rFonts w:hint="default" w:ascii="Times New Roman" w:hAnsi="Times New Roman" w:cs="Times New Roman"/>
        </w:rPr>
      </w:pPr>
      <w:r>
        <w:rPr>
          <w:rFonts w:hint="default" w:ascii="Times New Roman" w:hAnsi="Times New Roman" w:cs="Times New Roman"/>
        </w:rPr>
        <w:t>版本管理：管理模型的版本信息，一个模型可对应多个版本，支持查看不同版本模型的配置，支持横向对比模型效果。</w:t>
      </w:r>
    </w:p>
    <w:p w14:paraId="442A4AB6">
      <w:pPr>
        <w:ind w:firstLine="480"/>
        <w:rPr>
          <w:rFonts w:hint="default" w:ascii="Times New Roman" w:hAnsi="Times New Roman" w:cs="Times New Roman"/>
        </w:rPr>
      </w:pPr>
      <w:r>
        <w:rPr>
          <w:rFonts w:hint="default" w:ascii="Times New Roman" w:hAnsi="Times New Roman" w:cs="Times New Roman"/>
        </w:rPr>
        <w:t>管理模型的版本信息，一个模型可对应多个版本，支持查看不同版本模型的配置，支持横向对比模型效果。</w:t>
      </w:r>
    </w:p>
    <w:p w14:paraId="27A847B4">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870450" cy="1530350"/>
            <wp:effectExtent l="0" t="0" r="6350" b="8890"/>
            <wp:docPr id="1248"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 name="图片 339"/>
                    <pic:cNvPicPr>
                      <a:picLocks noChangeAspect="1"/>
                    </pic:cNvPicPr>
                  </pic:nvPicPr>
                  <pic:blipFill>
                    <a:blip r:embed="rId78"/>
                    <a:stretch>
                      <a:fillRect/>
                    </a:stretch>
                  </pic:blipFill>
                  <pic:spPr>
                    <a:xfrm>
                      <a:off x="0" y="0"/>
                      <a:ext cx="4870450" cy="1530350"/>
                    </a:xfrm>
                    <a:prstGeom prst="rect">
                      <a:avLst/>
                    </a:prstGeom>
                    <a:noFill/>
                    <a:ln>
                      <a:noFill/>
                    </a:ln>
                  </pic:spPr>
                </pic:pic>
              </a:graphicData>
            </a:graphic>
          </wp:inline>
        </w:drawing>
      </w:r>
    </w:p>
    <w:p w14:paraId="6F06C4E4">
      <w:pPr>
        <w:ind w:firstLine="480"/>
        <w:rPr>
          <w:rFonts w:hint="default" w:ascii="Times New Roman" w:hAnsi="Times New Roman" w:cs="Times New Roman"/>
        </w:rPr>
      </w:pPr>
      <w:r>
        <w:rPr>
          <w:rFonts w:hint="default" w:ascii="Times New Roman" w:hAnsi="Times New Roman" w:cs="Times New Roman"/>
        </w:rPr>
        <w:t>模型版本信息：对模型版本进行管理，如版本号、版本描述、所属的模型等，每个模型下均可维护多个不同版本。</w:t>
      </w:r>
    </w:p>
    <w:p w14:paraId="4E2AFCE7">
      <w:pPr>
        <w:ind w:firstLine="480"/>
        <w:rPr>
          <w:rFonts w:hint="default" w:ascii="Times New Roman" w:hAnsi="Times New Roman" w:cs="Times New Roman"/>
        </w:rPr>
      </w:pPr>
      <w:r>
        <w:rPr>
          <w:rFonts w:hint="default" w:ascii="Times New Roman" w:hAnsi="Times New Roman" w:cs="Times New Roman"/>
        </w:rPr>
        <w:t>版本导出：支持导出模型版本。</w:t>
      </w:r>
    </w:p>
    <w:p w14:paraId="0C8470CD">
      <w:pPr>
        <w:ind w:firstLine="480"/>
        <w:rPr>
          <w:rFonts w:hint="default" w:ascii="Times New Roman" w:hAnsi="Times New Roman" w:cs="Times New Roman"/>
        </w:rPr>
      </w:pPr>
      <w:r>
        <w:rPr>
          <w:rFonts w:hint="default" w:ascii="Times New Roman" w:hAnsi="Times New Roman" w:cs="Times New Roman"/>
        </w:rPr>
        <w:t>版本部署：支持选择版本直接部署推理服务。</w:t>
      </w:r>
    </w:p>
    <w:p w14:paraId="10CBAABA">
      <w:pPr>
        <w:ind w:firstLine="480"/>
        <w:rPr>
          <w:rFonts w:hint="default" w:ascii="Times New Roman" w:hAnsi="Times New Roman" w:cs="Times New Roman"/>
        </w:rPr>
      </w:pPr>
      <w:r>
        <w:rPr>
          <w:rFonts w:hint="default" w:ascii="Times New Roman" w:hAnsi="Times New Roman" w:cs="Times New Roman"/>
        </w:rPr>
        <w:t>可部署：已完成创建的模型版本，可以用于部署推理服务。</w:t>
      </w:r>
    </w:p>
    <w:p w14:paraId="5260D288">
      <w:pPr>
        <w:ind w:firstLine="480"/>
        <w:rPr>
          <w:rFonts w:hint="default" w:ascii="Times New Roman" w:hAnsi="Times New Roman" w:cs="Times New Roman"/>
        </w:rPr>
      </w:pPr>
      <w:r>
        <w:rPr>
          <w:rFonts w:hint="default" w:ascii="Times New Roman" w:hAnsi="Times New Roman" w:cs="Times New Roman"/>
        </w:rPr>
        <w:t>发生错误：创建过程中发生错误。</w:t>
      </w:r>
    </w:p>
    <w:p w14:paraId="1B266253">
      <w:pPr>
        <w:ind w:firstLine="480"/>
        <w:rPr>
          <w:rFonts w:hint="default" w:ascii="Times New Roman" w:hAnsi="Times New Roman" w:cs="Times New Roman"/>
        </w:rPr>
      </w:pPr>
      <w:r>
        <w:rPr>
          <w:rFonts w:hint="default" w:ascii="Times New Roman" w:hAnsi="Times New Roman" w:cs="Times New Roman"/>
        </w:rPr>
        <w:t>创建中：模型正在创建中。</w:t>
      </w:r>
    </w:p>
    <w:p w14:paraId="2C3AD56B">
      <w:pPr>
        <w:pStyle w:val="38"/>
        <w:numPr>
          <w:ilvl w:val="4"/>
          <w:numId w:val="1"/>
        </w:numPr>
        <w:ind w:left="992" w:leftChars="0" w:hanging="992" w:firstLineChars="0"/>
        <w:outlineLvl w:val="4"/>
        <w:rPr>
          <w:rFonts w:hint="default"/>
        </w:rPr>
      </w:pPr>
      <w:r>
        <w:rPr>
          <w:rFonts w:hint="default"/>
        </w:rPr>
        <w:t>支持模型的检索、筛选、排序</w:t>
      </w:r>
    </w:p>
    <w:p w14:paraId="34292C78">
      <w:pPr>
        <w:ind w:firstLine="480"/>
        <w:rPr>
          <w:rFonts w:hint="default" w:ascii="Times New Roman" w:hAnsi="Times New Roman" w:cs="Times New Roman"/>
        </w:rPr>
      </w:pPr>
      <w:r>
        <w:rPr>
          <w:rFonts w:hint="default" w:ascii="Times New Roman" w:hAnsi="Times New Roman" w:cs="Times New Roman"/>
        </w:rPr>
        <w:t>1、支持根据模型名称搜索</w:t>
      </w:r>
    </w:p>
    <w:p w14:paraId="4B71122E">
      <w:pPr>
        <w:ind w:firstLine="480"/>
        <w:rPr>
          <w:rFonts w:hint="default" w:ascii="Times New Roman" w:hAnsi="Times New Roman" w:cs="Times New Roman"/>
        </w:rPr>
      </w:pPr>
      <w:r>
        <w:rPr>
          <w:rFonts w:hint="default" w:ascii="Times New Roman" w:hAnsi="Times New Roman" w:cs="Times New Roman"/>
        </w:rPr>
        <w:t>支持模型名称的模糊匹配搜索。</w:t>
      </w:r>
    </w:p>
    <w:p w14:paraId="6DBE05B0">
      <w:pPr>
        <w:ind w:firstLine="480"/>
        <w:rPr>
          <w:rFonts w:hint="default" w:ascii="Times New Roman" w:hAnsi="Times New Roman" w:cs="Times New Roman"/>
        </w:rPr>
      </w:pPr>
      <w:r>
        <w:rPr>
          <w:rFonts w:hint="default" w:ascii="Times New Roman" w:hAnsi="Times New Roman" w:cs="Times New Roman"/>
        </w:rPr>
        <w:t>支持自动匹配大写，回车自动搜索。</w:t>
      </w:r>
    </w:p>
    <w:p w14:paraId="00BDD01A">
      <w:pPr>
        <w:ind w:firstLine="480"/>
        <w:rPr>
          <w:rFonts w:hint="default" w:ascii="Times New Roman" w:hAnsi="Times New Roman" w:cs="Times New Roman"/>
        </w:rPr>
      </w:pPr>
      <w:r>
        <w:rPr>
          <w:rFonts w:hint="default" w:ascii="Times New Roman" w:hAnsi="Times New Roman" w:cs="Times New Roman"/>
        </w:rPr>
        <w:t>如下图所示：</w:t>
      </w:r>
    </w:p>
    <w:p w14:paraId="70AB76EF">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027930" cy="2000250"/>
            <wp:effectExtent l="0" t="0" r="1270" b="1143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79"/>
                    <a:srcRect b="27553"/>
                    <a:stretch>
                      <a:fillRect/>
                    </a:stretch>
                  </pic:blipFill>
                  <pic:spPr>
                    <a:xfrm>
                      <a:off x="0" y="0"/>
                      <a:ext cx="5027930" cy="2000250"/>
                    </a:xfrm>
                    <a:prstGeom prst="rect">
                      <a:avLst/>
                    </a:prstGeom>
                    <a:noFill/>
                    <a:ln>
                      <a:noFill/>
                    </a:ln>
                  </pic:spPr>
                </pic:pic>
              </a:graphicData>
            </a:graphic>
          </wp:inline>
        </w:drawing>
      </w:r>
    </w:p>
    <w:p w14:paraId="0F65A48A">
      <w:pPr>
        <w:pStyle w:val="3"/>
        <w:rPr>
          <w:rFonts w:hint="default" w:ascii="Times New Roman" w:hAnsi="Times New Roman" w:cs="Times New Roman"/>
        </w:rPr>
      </w:pPr>
      <w:r>
        <w:rPr>
          <w:rFonts w:hint="default" w:ascii="Times New Roman" w:hAnsi="Times New Roman" w:cs="Times New Roman"/>
        </w:rPr>
        <w:t>模型检索</w:t>
      </w:r>
    </w:p>
    <w:p w14:paraId="4F691976">
      <w:pPr>
        <w:ind w:firstLine="480"/>
        <w:rPr>
          <w:rFonts w:hint="default" w:ascii="Times New Roman" w:hAnsi="Times New Roman" w:cs="Times New Roman"/>
        </w:rPr>
      </w:pPr>
      <w:r>
        <w:rPr>
          <w:rFonts w:hint="default" w:ascii="Times New Roman" w:hAnsi="Times New Roman" w:cs="Times New Roman"/>
        </w:rPr>
        <w:t>2、支持通过标签镜像筛选</w:t>
      </w:r>
    </w:p>
    <w:p w14:paraId="7031E9C8">
      <w:pPr>
        <w:ind w:firstLine="480"/>
        <w:rPr>
          <w:rFonts w:hint="default" w:ascii="Times New Roman" w:hAnsi="Times New Roman" w:cs="Times New Roman"/>
        </w:rPr>
      </w:pPr>
      <w:r>
        <w:rPr>
          <w:rFonts w:hint="default" w:ascii="Times New Roman" w:hAnsi="Times New Roman" w:cs="Times New Roman"/>
        </w:rPr>
        <w:t>支持多种分类，包括热门任务、计算机视觉、自然语言处理、语音、多模态。</w:t>
      </w:r>
    </w:p>
    <w:p w14:paraId="438B19C5">
      <w:pPr>
        <w:ind w:firstLine="480"/>
        <w:rPr>
          <w:rFonts w:hint="default" w:ascii="Times New Roman" w:hAnsi="Times New Roman" w:cs="Times New Roman"/>
        </w:rPr>
      </w:pPr>
      <w:r>
        <w:rPr>
          <w:rFonts w:hint="default" w:ascii="Times New Roman" w:hAnsi="Times New Roman" w:cs="Times New Roman"/>
        </w:rPr>
        <w:t>支持筛选一键清空标签选择。</w:t>
      </w:r>
    </w:p>
    <w:p w14:paraId="20C0596C">
      <w:pPr>
        <w:ind w:firstLine="480"/>
        <w:rPr>
          <w:rFonts w:hint="default" w:ascii="Times New Roman" w:hAnsi="Times New Roman" w:cs="Times New Roman"/>
        </w:rPr>
      </w:pPr>
      <w:r>
        <w:rPr>
          <w:rFonts w:hint="default" w:ascii="Times New Roman" w:hAnsi="Times New Roman" w:cs="Times New Roman"/>
        </w:rPr>
        <w:t>以下展示了按照”文本生成”标签筛选后的模型列表：</w:t>
      </w:r>
    </w:p>
    <w:p w14:paraId="6575716B">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5580" cy="2769870"/>
            <wp:effectExtent l="0" t="0" r="1270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80"/>
                    <a:stretch>
                      <a:fillRect/>
                    </a:stretch>
                  </pic:blipFill>
                  <pic:spPr>
                    <a:xfrm>
                      <a:off x="0" y="0"/>
                      <a:ext cx="5275580" cy="2769870"/>
                    </a:xfrm>
                    <a:prstGeom prst="rect">
                      <a:avLst/>
                    </a:prstGeom>
                    <a:noFill/>
                    <a:ln>
                      <a:noFill/>
                    </a:ln>
                  </pic:spPr>
                </pic:pic>
              </a:graphicData>
            </a:graphic>
          </wp:inline>
        </w:drawing>
      </w:r>
    </w:p>
    <w:p w14:paraId="5417AFF2">
      <w:pPr>
        <w:pStyle w:val="3"/>
        <w:rPr>
          <w:rFonts w:hint="default" w:ascii="Times New Roman" w:hAnsi="Times New Roman" w:cs="Times New Roman"/>
        </w:rPr>
      </w:pPr>
      <w:r>
        <w:rPr>
          <w:rFonts w:hint="default" w:ascii="Times New Roman" w:hAnsi="Times New Roman" w:cs="Times New Roman"/>
        </w:rPr>
        <w:t>模型筛选</w:t>
      </w:r>
    </w:p>
    <w:p w14:paraId="63AF3782">
      <w:pPr>
        <w:ind w:firstLine="480"/>
        <w:rPr>
          <w:rFonts w:hint="default" w:ascii="Times New Roman" w:hAnsi="Times New Roman" w:cs="Times New Roman"/>
        </w:rPr>
      </w:pPr>
      <w:r>
        <w:rPr>
          <w:rFonts w:hint="default" w:ascii="Times New Roman" w:hAnsi="Times New Roman" w:cs="Times New Roman"/>
        </w:rPr>
        <w:t>以下界面展示了按照“多模态”标签筛选的模型列表展示。</w:t>
      </w:r>
    </w:p>
    <w:p w14:paraId="5D84B212">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075555" cy="1968500"/>
            <wp:effectExtent l="0" t="0" r="14605" b="1270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81"/>
                    <a:srcRect b="28997"/>
                    <a:stretch>
                      <a:fillRect/>
                    </a:stretch>
                  </pic:blipFill>
                  <pic:spPr>
                    <a:xfrm>
                      <a:off x="0" y="0"/>
                      <a:ext cx="5075555" cy="1968500"/>
                    </a:xfrm>
                    <a:prstGeom prst="rect">
                      <a:avLst/>
                    </a:prstGeom>
                    <a:noFill/>
                    <a:ln>
                      <a:noFill/>
                    </a:ln>
                  </pic:spPr>
                </pic:pic>
              </a:graphicData>
            </a:graphic>
          </wp:inline>
        </w:drawing>
      </w:r>
    </w:p>
    <w:p w14:paraId="39A6F4FB">
      <w:pPr>
        <w:pStyle w:val="3"/>
        <w:rPr>
          <w:rFonts w:hint="default" w:ascii="Times New Roman" w:hAnsi="Times New Roman" w:cs="Times New Roman"/>
        </w:rPr>
      </w:pPr>
      <w:r>
        <w:rPr>
          <w:rFonts w:hint="default" w:ascii="Times New Roman" w:hAnsi="Times New Roman" w:cs="Times New Roman"/>
        </w:rPr>
        <w:t>模型列表展示</w:t>
      </w:r>
    </w:p>
    <w:p w14:paraId="281877F6">
      <w:pPr>
        <w:ind w:firstLine="480"/>
        <w:rPr>
          <w:rFonts w:hint="default" w:ascii="Times New Roman" w:hAnsi="Times New Roman" w:cs="Times New Roman"/>
        </w:rPr>
      </w:pPr>
      <w:r>
        <w:rPr>
          <w:rFonts w:hint="default" w:ascii="Times New Roman" w:hAnsi="Times New Roman" w:cs="Times New Roman"/>
        </w:rPr>
        <w:t>3、支持模型排序，可以感觉创建时间由远及近、由近及远等排序</w:t>
      </w:r>
    </w:p>
    <w:p w14:paraId="102A6E4D">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374640" cy="2757805"/>
            <wp:effectExtent l="0" t="0" r="5080"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82"/>
                    <a:stretch>
                      <a:fillRect/>
                    </a:stretch>
                  </pic:blipFill>
                  <pic:spPr>
                    <a:xfrm>
                      <a:off x="0" y="0"/>
                      <a:ext cx="5374640" cy="2757805"/>
                    </a:xfrm>
                    <a:prstGeom prst="rect">
                      <a:avLst/>
                    </a:prstGeom>
                    <a:noFill/>
                    <a:ln>
                      <a:noFill/>
                    </a:ln>
                  </pic:spPr>
                </pic:pic>
              </a:graphicData>
            </a:graphic>
          </wp:inline>
        </w:drawing>
      </w:r>
    </w:p>
    <w:p w14:paraId="26D8B877">
      <w:pPr>
        <w:pStyle w:val="3"/>
        <w:rPr>
          <w:rFonts w:hint="default" w:ascii="Times New Roman" w:hAnsi="Times New Roman" w:cs="Times New Roman"/>
        </w:rPr>
      </w:pPr>
      <w:r>
        <w:rPr>
          <w:rFonts w:hint="default" w:ascii="Times New Roman" w:hAnsi="Times New Roman" w:cs="Times New Roman"/>
        </w:rPr>
        <w:t>模型排序</w:t>
      </w:r>
    </w:p>
    <w:p w14:paraId="478A3A3E">
      <w:pPr>
        <w:ind w:firstLine="480"/>
        <w:rPr>
          <w:rFonts w:hint="default" w:ascii="Times New Roman" w:hAnsi="Times New Roman" w:cs="Times New Roman"/>
        </w:rPr>
      </w:pPr>
      <w:r>
        <w:rPr>
          <w:rFonts w:hint="default" w:ascii="Times New Roman" w:hAnsi="Times New Roman" w:cs="Times New Roman"/>
        </w:rPr>
        <w:t>4、支持模型详情页</w:t>
      </w:r>
    </w:p>
    <w:p w14:paraId="206B6E13">
      <w:pPr>
        <w:ind w:firstLine="480"/>
        <w:rPr>
          <w:rFonts w:hint="default" w:ascii="Times New Roman" w:hAnsi="Times New Roman" w:cs="Times New Roman"/>
        </w:rPr>
      </w:pPr>
      <w:r>
        <w:rPr>
          <w:rFonts w:hint="default" w:ascii="Times New Roman" w:hAnsi="Times New Roman" w:cs="Times New Roman"/>
        </w:rPr>
        <w:t>详情页展示模型的描述、创建人、创建时间和模型介绍内容。</w:t>
      </w:r>
    </w:p>
    <w:p w14:paraId="3896C03D">
      <w:pPr>
        <w:ind w:firstLine="480"/>
        <w:rPr>
          <w:rFonts w:hint="default" w:ascii="Times New Roman" w:hAnsi="Times New Roman" w:cs="Times New Roman"/>
        </w:rPr>
      </w:pPr>
      <w:r>
        <w:rPr>
          <w:rFonts w:hint="default" w:ascii="Times New Roman" w:hAnsi="Times New Roman" w:cs="Times New Roman"/>
        </w:rPr>
        <w:t>支持一键收藏和部署。</w:t>
      </w:r>
    </w:p>
    <w:p w14:paraId="2A8BFB3D">
      <w:pPr>
        <w:ind w:firstLine="480"/>
        <w:rPr>
          <w:rFonts w:hint="default" w:ascii="Times New Roman" w:hAnsi="Times New Roman" w:cs="Times New Roman"/>
        </w:rPr>
      </w:pPr>
      <w:r>
        <w:rPr>
          <w:rFonts w:hint="default" w:ascii="Times New Roman" w:hAnsi="Times New Roman" w:cs="Times New Roman"/>
        </w:rPr>
        <w:t>对模型广场界面的模型点击进入，会出现模型详情界面。该界面详细展示了Qwen1.5-0.5模型的详细介绍，包括Introduction,Model Details,Training details,Requirements,Quickstart,Limitations,Citation的相关信息。同时在此界面可以进行一键收藏或部署。</w:t>
      </w:r>
    </w:p>
    <w:p w14:paraId="69520DF8">
      <w:pPr>
        <w:widowControl/>
        <w:ind w:firstLine="0" w:firstLineChars="0"/>
        <w:jc w:val="center"/>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5294630" cy="2772410"/>
            <wp:effectExtent l="0" t="0" r="8890" b="1270"/>
            <wp:docPr id="703" name="图片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图片 703"/>
                    <pic:cNvPicPr>
                      <a:picLocks noChangeAspect="1"/>
                    </pic:cNvPicPr>
                  </pic:nvPicPr>
                  <pic:blipFill>
                    <a:blip r:embed="rId83"/>
                    <a:stretch>
                      <a:fillRect/>
                    </a:stretch>
                  </pic:blipFill>
                  <pic:spPr>
                    <a:xfrm>
                      <a:off x="0" y="0"/>
                      <a:ext cx="5294630" cy="2772410"/>
                    </a:xfrm>
                    <a:prstGeom prst="rect">
                      <a:avLst/>
                    </a:prstGeom>
                    <a:noFill/>
                    <a:ln>
                      <a:noFill/>
                    </a:ln>
                  </pic:spPr>
                </pic:pic>
              </a:graphicData>
            </a:graphic>
          </wp:inline>
        </w:drawing>
      </w:r>
    </w:p>
    <w:p w14:paraId="63DCD7B5">
      <w:pPr>
        <w:pStyle w:val="3"/>
        <w:rPr>
          <w:rFonts w:hint="eastAsia"/>
        </w:rPr>
      </w:pPr>
      <w:r>
        <w:rPr>
          <w:rFonts w:hint="default" w:ascii="Times New Roman" w:hAnsi="Times New Roman" w:cs="Times New Roman"/>
        </w:rPr>
        <w:t>模型详情</w:t>
      </w:r>
    </w:p>
    <w:p w14:paraId="7CF106EA">
      <w:pPr>
        <w:pStyle w:val="38"/>
        <w:numPr>
          <w:ilvl w:val="3"/>
          <w:numId w:val="1"/>
        </w:numPr>
        <w:outlineLvl w:val="3"/>
        <w:rPr>
          <w:rFonts w:hint="eastAsia"/>
        </w:rPr>
      </w:pPr>
      <w:r>
        <w:rPr>
          <w:rFonts w:hint="eastAsia"/>
        </w:rPr>
        <w:t>小模型管理</w:t>
      </w:r>
    </w:p>
    <w:p w14:paraId="0F9DEF6E">
      <w:pPr>
        <w:pStyle w:val="38"/>
        <w:numPr>
          <w:ilvl w:val="4"/>
          <w:numId w:val="1"/>
        </w:numPr>
        <w:ind w:left="992" w:leftChars="0" w:hanging="992" w:firstLineChars="0"/>
        <w:outlineLvl w:val="4"/>
        <w:rPr>
          <w:rFonts w:hint="default"/>
        </w:rPr>
      </w:pPr>
      <w:r>
        <w:rPr>
          <w:rFonts w:hint="default"/>
        </w:rPr>
        <w:t>支持</w:t>
      </w:r>
      <w:r>
        <w:rPr>
          <w:rFonts w:hint="eastAsia"/>
          <w:lang w:val="en-US" w:eastAsia="zh-CN"/>
        </w:rPr>
        <w:t>小模型的</w:t>
      </w:r>
      <w:r>
        <w:rPr>
          <w:rFonts w:hint="default"/>
        </w:rPr>
        <w:t>纳管</w:t>
      </w:r>
    </w:p>
    <w:p w14:paraId="1E6BFFE4">
      <w:pPr>
        <w:ind w:firstLine="480"/>
        <w:rPr>
          <w:rFonts w:hint="eastAsia" w:ascii="Times New Roman" w:hAnsi="Times New Roman" w:eastAsia="仿宋" w:cs="Times New Roman"/>
          <w:lang w:eastAsia="zh-CN"/>
        </w:rPr>
      </w:pPr>
      <w:r>
        <w:rPr>
          <w:rFonts w:hint="eastAsia" w:ascii="Times New Roman" w:hAnsi="Times New Roman" w:cs="Times New Roman"/>
          <w:lang w:val="en-US" w:eastAsia="zh-CN"/>
        </w:rPr>
        <w:t>小模型的管理功能和大模型一致，</w:t>
      </w:r>
      <w:r>
        <w:rPr>
          <w:rFonts w:hint="default" w:ascii="Times New Roman" w:hAnsi="Times New Roman" w:cs="Times New Roman"/>
        </w:rPr>
        <w:t>模型广场服务可以查看平台纳管的</w:t>
      </w:r>
      <w:r>
        <w:rPr>
          <w:rFonts w:hint="eastAsia" w:ascii="Times New Roman" w:hAnsi="Times New Roman" w:cs="Times New Roman"/>
          <w:lang w:val="en-US" w:eastAsia="zh-CN"/>
        </w:rPr>
        <w:t>小</w:t>
      </w:r>
      <w:r>
        <w:rPr>
          <w:rFonts w:hint="default" w:ascii="Times New Roman" w:hAnsi="Times New Roman" w:cs="Times New Roman"/>
        </w:rPr>
        <w:t>模型</w:t>
      </w:r>
      <w:r>
        <w:rPr>
          <w:rFonts w:hint="eastAsia" w:ascii="Times New Roman" w:hAnsi="Times New Roman" w:cs="Times New Roman"/>
          <w:lang w:eastAsia="zh-CN"/>
        </w:rPr>
        <w:t>。</w:t>
      </w:r>
    </w:p>
    <w:p w14:paraId="5A3F7658">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323205" cy="2630170"/>
            <wp:effectExtent l="0" t="0" r="1079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6"/>
                    <a:stretch>
                      <a:fillRect/>
                    </a:stretch>
                  </pic:blipFill>
                  <pic:spPr>
                    <a:xfrm>
                      <a:off x="0" y="0"/>
                      <a:ext cx="5323205" cy="2630170"/>
                    </a:xfrm>
                    <a:prstGeom prst="rect">
                      <a:avLst/>
                    </a:prstGeom>
                    <a:noFill/>
                    <a:ln>
                      <a:noFill/>
                    </a:ln>
                  </pic:spPr>
                </pic:pic>
              </a:graphicData>
            </a:graphic>
          </wp:inline>
        </w:drawing>
      </w:r>
    </w:p>
    <w:p w14:paraId="1FD1C380">
      <w:pPr>
        <w:pStyle w:val="38"/>
        <w:numPr>
          <w:ilvl w:val="4"/>
          <w:numId w:val="1"/>
        </w:numPr>
        <w:ind w:left="992" w:leftChars="0" w:hanging="992" w:firstLineChars="0"/>
        <w:outlineLvl w:val="4"/>
        <w:rPr>
          <w:rFonts w:hint="default"/>
        </w:rPr>
      </w:pPr>
      <w:r>
        <w:rPr>
          <w:rFonts w:hint="eastAsia"/>
          <w:lang w:val="en-US" w:eastAsia="zh-CN"/>
        </w:rPr>
        <w:t>小模型</w:t>
      </w:r>
      <w:r>
        <w:rPr>
          <w:rFonts w:hint="default"/>
        </w:rPr>
        <w:t>兼容支持</w:t>
      </w:r>
    </w:p>
    <w:p w14:paraId="23517CCD">
      <w:pPr>
        <w:ind w:firstLine="480"/>
        <w:rPr>
          <w:rFonts w:hint="default" w:ascii="Times New Roman" w:hAnsi="Times New Roman" w:cs="Times New Roman"/>
        </w:rPr>
      </w:pPr>
      <w:r>
        <w:rPr>
          <w:rFonts w:hint="default" w:ascii="Times New Roman" w:hAnsi="Times New Roman" w:cs="Times New Roman"/>
        </w:rPr>
        <w:t>平台兼容并支持不同框架的</w:t>
      </w:r>
      <w:r>
        <w:rPr>
          <w:rFonts w:hint="eastAsia" w:ascii="Times New Roman" w:hAnsi="Times New Roman" w:cs="Times New Roman"/>
          <w:lang w:val="en-US" w:eastAsia="zh-CN"/>
        </w:rPr>
        <w:t>小</w:t>
      </w:r>
      <w:r>
        <w:rPr>
          <w:rFonts w:hint="default" w:ascii="Times New Roman" w:hAnsi="Times New Roman" w:cs="Times New Roman"/>
        </w:rPr>
        <w:t>模型，支持第三方模型的导入配置功能，新增导入模型配置内容包含但不限于归属应用、模型名称；可配置模型运行环境，支持选择模型编码语言、引擎、框架、内置镜像，及镜像版本；可选择上传途径为本地上传或者FTP上传。</w:t>
      </w:r>
    </w:p>
    <w:p w14:paraId="1EC8B0EC">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66690" cy="4102735"/>
            <wp:effectExtent l="0" t="0" r="6350" b="12065"/>
            <wp:docPr id="2"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38"/>
                    <pic:cNvPicPr>
                      <a:picLocks noChangeAspect="1"/>
                    </pic:cNvPicPr>
                  </pic:nvPicPr>
                  <pic:blipFill>
                    <a:blip r:embed="rId77"/>
                    <a:stretch>
                      <a:fillRect/>
                    </a:stretch>
                  </pic:blipFill>
                  <pic:spPr>
                    <a:xfrm>
                      <a:off x="0" y="0"/>
                      <a:ext cx="5266690" cy="4102735"/>
                    </a:xfrm>
                    <a:prstGeom prst="rect">
                      <a:avLst/>
                    </a:prstGeom>
                    <a:noFill/>
                    <a:ln>
                      <a:noFill/>
                    </a:ln>
                  </pic:spPr>
                </pic:pic>
              </a:graphicData>
            </a:graphic>
          </wp:inline>
        </w:drawing>
      </w:r>
    </w:p>
    <w:p w14:paraId="61D53E13">
      <w:pPr>
        <w:ind w:firstLine="480"/>
        <w:rPr>
          <w:rFonts w:hint="default" w:ascii="Times New Roman" w:hAnsi="Times New Roman" w:cs="Times New Roman"/>
        </w:rPr>
      </w:pPr>
      <w:r>
        <w:rPr>
          <w:rFonts w:hint="default" w:ascii="Times New Roman" w:hAnsi="Times New Roman" w:cs="Times New Roman"/>
        </w:rPr>
        <w:t>可开放使用业内生成式模型能力和第三方模型及其他标准能力，提供多种模型及能力纳管方式，纳管成功后，可以在平台上部署成模型服务对外开放。</w:t>
      </w:r>
    </w:p>
    <w:p w14:paraId="203FAFCA">
      <w:pPr>
        <w:ind w:firstLine="480"/>
        <w:rPr>
          <w:rFonts w:hint="default" w:ascii="Times New Roman" w:hAnsi="Times New Roman" w:cs="Times New Roman"/>
        </w:rPr>
      </w:pPr>
      <w:r>
        <w:rPr>
          <w:rFonts w:hint="default" w:ascii="Times New Roman" w:hAnsi="Times New Roman" w:cs="Times New Roman"/>
        </w:rPr>
        <w:t>支持模型以文件方式导入，对导入模型的文件无限制，对纳入平台管理的模型进行统一的版本管理、生命周期管理，并且可以导出镜像部署或直接在平台上部署成模型服务。</w:t>
      </w:r>
    </w:p>
    <w:p w14:paraId="75A186A9">
      <w:pPr>
        <w:ind w:firstLine="480"/>
        <w:rPr>
          <w:rFonts w:hint="default" w:ascii="Times New Roman" w:hAnsi="Times New Roman" w:cs="Times New Roman"/>
        </w:rPr>
      </w:pPr>
      <w:r>
        <w:rPr>
          <w:rFonts w:hint="default" w:ascii="Times New Roman" w:hAnsi="Times New Roman" w:cs="Times New Roman"/>
        </w:rPr>
        <w:t>支持模型以镜像方式导入，能够直接纳管第三方封装好的模型推理镜像，提供统一的推理部署、运维和服务开放。</w:t>
      </w:r>
    </w:p>
    <w:p w14:paraId="126B9FFA">
      <w:pPr>
        <w:ind w:firstLine="480"/>
        <w:rPr>
          <w:rFonts w:hint="default" w:ascii="Times New Roman" w:hAnsi="Times New Roman" w:cs="Times New Roman"/>
        </w:rPr>
      </w:pPr>
      <w:r>
        <w:rPr>
          <w:rFonts w:hint="default" w:ascii="Times New Roman" w:hAnsi="Times New Roman" w:cs="Times New Roman"/>
        </w:rPr>
        <w:t>支持模型以代码方式导入，可以用户自建模型代码，导入平台，文件格式无限制，如zip，rar，7z，jar，war等可直接启动或解压后启动。</w:t>
      </w:r>
    </w:p>
    <w:p w14:paraId="6329750A">
      <w:pPr>
        <w:ind w:firstLine="480"/>
        <w:rPr>
          <w:rFonts w:hint="default" w:ascii="Times New Roman" w:hAnsi="Times New Roman" w:cs="Times New Roman"/>
        </w:rPr>
      </w:pPr>
      <w:r>
        <w:rPr>
          <w:rFonts w:hint="default" w:ascii="Times New Roman" w:hAnsi="Times New Roman" w:cs="Times New Roman"/>
        </w:rPr>
        <w:t>支持基于API形式引入，对API的权限管控、访问认证、流量控制以及对真实服务地址的屏蔽等能力。</w:t>
      </w:r>
    </w:p>
    <w:p w14:paraId="14D9E603">
      <w:pPr>
        <w:ind w:firstLine="480"/>
        <w:rPr>
          <w:rFonts w:hint="default" w:ascii="Times New Roman" w:hAnsi="Times New Roman" w:cs="Times New Roman"/>
        </w:rPr>
      </w:pPr>
      <w:r>
        <w:rPr>
          <w:rFonts w:hint="default" w:ascii="Times New Roman" w:hAnsi="Times New Roman" w:cs="Times New Roman"/>
        </w:rPr>
        <w:t>模型版本管理功能用于管理通过平台开发以及第三方导入的模型版本以及版本相关的脚本、环境信息。</w:t>
      </w:r>
    </w:p>
    <w:p w14:paraId="1EB47FBB">
      <w:pPr>
        <w:ind w:firstLine="480"/>
        <w:rPr>
          <w:rFonts w:hint="default" w:ascii="Times New Roman" w:hAnsi="Times New Roman" w:cs="Times New Roman"/>
        </w:rPr>
      </w:pPr>
      <w:r>
        <w:rPr>
          <w:rFonts w:hint="default" w:ascii="Times New Roman" w:hAnsi="Times New Roman" w:cs="Times New Roman"/>
        </w:rPr>
        <w:t>模型列表：管理系统建模生成或从第三方导入的项目模型列表，一个项目应用对应一个模型。</w:t>
      </w:r>
    </w:p>
    <w:p w14:paraId="2961BED5">
      <w:pPr>
        <w:tabs>
          <w:tab w:val="left" w:pos="8120"/>
        </w:tabs>
        <w:ind w:firstLine="480"/>
        <w:rPr>
          <w:rFonts w:hint="default" w:ascii="Times New Roman" w:hAnsi="Times New Roman" w:cs="Times New Roman"/>
        </w:rPr>
      </w:pPr>
      <w:r>
        <w:rPr>
          <w:rFonts w:hint="default" w:ascii="Times New Roman" w:hAnsi="Times New Roman" w:cs="Times New Roman"/>
        </w:rPr>
        <w:t>版本管理：管理模型的版本信息，一个模型可对应多个版本，支持查看不同版本模型的配置，支持横向对比模型效果。</w:t>
      </w:r>
    </w:p>
    <w:p w14:paraId="63EE7DFD">
      <w:pPr>
        <w:ind w:firstLine="480"/>
        <w:rPr>
          <w:rFonts w:hint="default" w:ascii="Times New Roman" w:hAnsi="Times New Roman" w:cs="Times New Roman"/>
        </w:rPr>
      </w:pPr>
      <w:r>
        <w:rPr>
          <w:rFonts w:hint="default" w:ascii="Times New Roman" w:hAnsi="Times New Roman" w:cs="Times New Roman"/>
        </w:rPr>
        <w:t>管理模型的版本信息，一个模型可对应多个版本，支持查看不同版本模型的配置，支持横向对比模型效果。</w:t>
      </w:r>
    </w:p>
    <w:p w14:paraId="77B0AE12">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4870450" cy="1530350"/>
            <wp:effectExtent l="0" t="0" r="6350" b="8890"/>
            <wp:docPr id="3"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39"/>
                    <pic:cNvPicPr>
                      <a:picLocks noChangeAspect="1"/>
                    </pic:cNvPicPr>
                  </pic:nvPicPr>
                  <pic:blipFill>
                    <a:blip r:embed="rId78"/>
                    <a:stretch>
                      <a:fillRect/>
                    </a:stretch>
                  </pic:blipFill>
                  <pic:spPr>
                    <a:xfrm>
                      <a:off x="0" y="0"/>
                      <a:ext cx="4870450" cy="1530350"/>
                    </a:xfrm>
                    <a:prstGeom prst="rect">
                      <a:avLst/>
                    </a:prstGeom>
                    <a:noFill/>
                    <a:ln>
                      <a:noFill/>
                    </a:ln>
                  </pic:spPr>
                </pic:pic>
              </a:graphicData>
            </a:graphic>
          </wp:inline>
        </w:drawing>
      </w:r>
    </w:p>
    <w:p w14:paraId="6C112BAD">
      <w:pPr>
        <w:ind w:firstLine="480"/>
        <w:rPr>
          <w:rFonts w:hint="default" w:ascii="Times New Roman" w:hAnsi="Times New Roman" w:cs="Times New Roman"/>
        </w:rPr>
      </w:pPr>
      <w:r>
        <w:rPr>
          <w:rFonts w:hint="default" w:ascii="Times New Roman" w:hAnsi="Times New Roman" w:cs="Times New Roman"/>
        </w:rPr>
        <w:t>模型版本信息：对模型版本进行管理，如版本号、版本描述、所属的模型等，每个模型下均可维护多个不同版本。</w:t>
      </w:r>
    </w:p>
    <w:p w14:paraId="7D5590B8">
      <w:pPr>
        <w:ind w:firstLine="480"/>
        <w:rPr>
          <w:rFonts w:hint="default" w:ascii="Times New Roman" w:hAnsi="Times New Roman" w:cs="Times New Roman"/>
        </w:rPr>
      </w:pPr>
      <w:r>
        <w:rPr>
          <w:rFonts w:hint="default" w:ascii="Times New Roman" w:hAnsi="Times New Roman" w:cs="Times New Roman"/>
        </w:rPr>
        <w:t>版本导出：支持导出模型版本。</w:t>
      </w:r>
    </w:p>
    <w:p w14:paraId="39B5E8A7">
      <w:pPr>
        <w:ind w:firstLine="480"/>
        <w:rPr>
          <w:rFonts w:hint="default" w:ascii="Times New Roman" w:hAnsi="Times New Roman" w:cs="Times New Roman"/>
        </w:rPr>
      </w:pPr>
      <w:r>
        <w:rPr>
          <w:rFonts w:hint="default" w:ascii="Times New Roman" w:hAnsi="Times New Roman" w:cs="Times New Roman"/>
        </w:rPr>
        <w:t>版本部署：支持选择版本直接部署推理服务。</w:t>
      </w:r>
    </w:p>
    <w:p w14:paraId="6B8926A5">
      <w:pPr>
        <w:ind w:firstLine="480"/>
        <w:rPr>
          <w:rFonts w:hint="default" w:ascii="Times New Roman" w:hAnsi="Times New Roman" w:cs="Times New Roman"/>
        </w:rPr>
      </w:pPr>
      <w:r>
        <w:rPr>
          <w:rFonts w:hint="default" w:ascii="Times New Roman" w:hAnsi="Times New Roman" w:cs="Times New Roman"/>
        </w:rPr>
        <w:t>可部署：已完成创建的模型版本，可以用于部署推理服务。</w:t>
      </w:r>
    </w:p>
    <w:p w14:paraId="5CA337FE">
      <w:pPr>
        <w:ind w:firstLine="480"/>
        <w:rPr>
          <w:rFonts w:hint="default" w:ascii="Times New Roman" w:hAnsi="Times New Roman" w:cs="Times New Roman"/>
        </w:rPr>
      </w:pPr>
      <w:r>
        <w:rPr>
          <w:rFonts w:hint="default" w:ascii="Times New Roman" w:hAnsi="Times New Roman" w:cs="Times New Roman"/>
        </w:rPr>
        <w:t>发生错误：创建过程中发生错误。</w:t>
      </w:r>
    </w:p>
    <w:p w14:paraId="1F53EF8D">
      <w:pPr>
        <w:ind w:firstLine="480"/>
        <w:rPr>
          <w:rFonts w:hint="default" w:ascii="Times New Roman" w:hAnsi="Times New Roman" w:cs="Times New Roman"/>
        </w:rPr>
      </w:pPr>
      <w:r>
        <w:rPr>
          <w:rFonts w:hint="default" w:ascii="Times New Roman" w:hAnsi="Times New Roman" w:cs="Times New Roman"/>
        </w:rPr>
        <w:t>创建中：模型正在创建中。</w:t>
      </w:r>
    </w:p>
    <w:p w14:paraId="32563F20">
      <w:pPr>
        <w:pStyle w:val="38"/>
        <w:numPr>
          <w:ilvl w:val="4"/>
          <w:numId w:val="1"/>
        </w:numPr>
        <w:ind w:left="992" w:leftChars="0" w:hanging="992" w:firstLineChars="0"/>
        <w:outlineLvl w:val="4"/>
        <w:rPr>
          <w:rFonts w:hint="default"/>
        </w:rPr>
      </w:pPr>
      <w:r>
        <w:rPr>
          <w:rFonts w:hint="default"/>
        </w:rPr>
        <w:t>支持模型的检索、筛选、排序</w:t>
      </w:r>
    </w:p>
    <w:p w14:paraId="44535420">
      <w:pPr>
        <w:ind w:firstLine="480"/>
        <w:rPr>
          <w:rFonts w:hint="default" w:ascii="Times New Roman" w:hAnsi="Times New Roman" w:cs="Times New Roman"/>
        </w:rPr>
      </w:pPr>
      <w:r>
        <w:rPr>
          <w:rFonts w:hint="default" w:ascii="Times New Roman" w:hAnsi="Times New Roman" w:cs="Times New Roman"/>
        </w:rPr>
        <w:t>1、支持根据模型名称搜索</w:t>
      </w:r>
    </w:p>
    <w:p w14:paraId="6F0C6328">
      <w:pPr>
        <w:ind w:firstLine="480"/>
        <w:rPr>
          <w:rFonts w:hint="default" w:ascii="Times New Roman" w:hAnsi="Times New Roman" w:cs="Times New Roman"/>
        </w:rPr>
      </w:pPr>
      <w:r>
        <w:rPr>
          <w:rFonts w:hint="default" w:ascii="Times New Roman" w:hAnsi="Times New Roman" w:cs="Times New Roman"/>
        </w:rPr>
        <w:t>支持模型名称的模糊匹配搜索。</w:t>
      </w:r>
    </w:p>
    <w:p w14:paraId="1AE6E7BF">
      <w:pPr>
        <w:ind w:firstLine="480"/>
        <w:rPr>
          <w:rFonts w:hint="default" w:ascii="Times New Roman" w:hAnsi="Times New Roman" w:cs="Times New Roman"/>
        </w:rPr>
      </w:pPr>
      <w:r>
        <w:rPr>
          <w:rFonts w:hint="default" w:ascii="Times New Roman" w:hAnsi="Times New Roman" w:cs="Times New Roman"/>
        </w:rPr>
        <w:t>支持自动匹配大写，回车自动搜索。</w:t>
      </w:r>
    </w:p>
    <w:p w14:paraId="74E071FB">
      <w:pPr>
        <w:ind w:firstLine="480"/>
        <w:rPr>
          <w:rFonts w:hint="default" w:ascii="Times New Roman" w:hAnsi="Times New Roman" w:cs="Times New Roman"/>
        </w:rPr>
      </w:pPr>
      <w:r>
        <w:rPr>
          <w:rFonts w:hint="default" w:ascii="Times New Roman" w:hAnsi="Times New Roman" w:cs="Times New Roman"/>
        </w:rPr>
        <w:t>如下图所示：</w:t>
      </w:r>
    </w:p>
    <w:p w14:paraId="75398EAA">
      <w:pPr>
        <w:pStyle w:val="3"/>
        <w:rPr>
          <w:rFonts w:hint="default" w:ascii="Times New Roman" w:hAnsi="Times New Roman" w:cs="Times New Roman"/>
        </w:rPr>
      </w:pPr>
      <w:r>
        <w:drawing>
          <wp:inline distT="0" distB="0" distL="114300" distR="114300">
            <wp:extent cx="5266690" cy="2621915"/>
            <wp:effectExtent l="0" t="0" r="6350" b="1460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84"/>
                    <a:stretch>
                      <a:fillRect/>
                    </a:stretch>
                  </pic:blipFill>
                  <pic:spPr>
                    <a:xfrm>
                      <a:off x="0" y="0"/>
                      <a:ext cx="5266690" cy="2621915"/>
                    </a:xfrm>
                    <a:prstGeom prst="rect">
                      <a:avLst/>
                    </a:prstGeom>
                    <a:noFill/>
                    <a:ln>
                      <a:noFill/>
                    </a:ln>
                  </pic:spPr>
                </pic:pic>
              </a:graphicData>
            </a:graphic>
          </wp:inline>
        </w:drawing>
      </w:r>
    </w:p>
    <w:p w14:paraId="13BFC29E">
      <w:pPr>
        <w:pStyle w:val="3"/>
        <w:rPr>
          <w:rFonts w:hint="default" w:ascii="Times New Roman" w:hAnsi="Times New Roman" w:cs="Times New Roman"/>
        </w:rPr>
      </w:pPr>
      <w:r>
        <w:rPr>
          <w:rFonts w:hint="default" w:ascii="Times New Roman" w:hAnsi="Times New Roman" w:cs="Times New Roman"/>
        </w:rPr>
        <w:t>模型检索</w:t>
      </w:r>
    </w:p>
    <w:p w14:paraId="4BC714BD">
      <w:pPr>
        <w:ind w:firstLine="480"/>
        <w:rPr>
          <w:rFonts w:hint="default" w:ascii="Times New Roman" w:hAnsi="Times New Roman" w:cs="Times New Roman"/>
        </w:rPr>
      </w:pPr>
      <w:r>
        <w:rPr>
          <w:rFonts w:hint="default" w:ascii="Times New Roman" w:hAnsi="Times New Roman" w:cs="Times New Roman"/>
        </w:rPr>
        <w:t>2、支持通过标签镜像筛选</w:t>
      </w:r>
    </w:p>
    <w:p w14:paraId="54F6D91A">
      <w:pPr>
        <w:ind w:firstLine="480"/>
        <w:rPr>
          <w:rFonts w:hint="default" w:ascii="Times New Roman" w:hAnsi="Times New Roman" w:cs="Times New Roman"/>
        </w:rPr>
      </w:pPr>
      <w:r>
        <w:rPr>
          <w:rFonts w:hint="default" w:ascii="Times New Roman" w:hAnsi="Times New Roman" w:cs="Times New Roman"/>
        </w:rPr>
        <w:t>支持多种分类，包括热门任务、计算机视觉、自然语言处理、语音、多模态。</w:t>
      </w:r>
    </w:p>
    <w:p w14:paraId="65407080">
      <w:pPr>
        <w:ind w:firstLine="480"/>
        <w:rPr>
          <w:rFonts w:hint="default" w:ascii="Times New Roman" w:hAnsi="Times New Roman" w:cs="Times New Roman"/>
        </w:rPr>
      </w:pPr>
      <w:r>
        <w:rPr>
          <w:rFonts w:hint="default" w:ascii="Times New Roman" w:hAnsi="Times New Roman" w:cs="Times New Roman"/>
        </w:rPr>
        <w:t>支持筛选一键清空标签选择。</w:t>
      </w:r>
    </w:p>
    <w:p w14:paraId="6140C15F">
      <w:pPr>
        <w:ind w:firstLine="480"/>
        <w:rPr>
          <w:rFonts w:hint="default" w:ascii="Times New Roman" w:hAnsi="Times New Roman" w:cs="Times New Roman"/>
        </w:rPr>
      </w:pPr>
      <w:r>
        <w:rPr>
          <w:rFonts w:hint="default" w:ascii="Times New Roman" w:hAnsi="Times New Roman" w:cs="Times New Roman"/>
        </w:rPr>
        <w:t>以下展示了按照”文本生成”标签筛选后的模型列表：</w:t>
      </w:r>
    </w:p>
    <w:p w14:paraId="63DF9B11">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275580" cy="2769870"/>
            <wp:effectExtent l="0" t="0" r="1270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0"/>
                    <a:stretch>
                      <a:fillRect/>
                    </a:stretch>
                  </pic:blipFill>
                  <pic:spPr>
                    <a:xfrm>
                      <a:off x="0" y="0"/>
                      <a:ext cx="5275580" cy="2769870"/>
                    </a:xfrm>
                    <a:prstGeom prst="rect">
                      <a:avLst/>
                    </a:prstGeom>
                    <a:noFill/>
                    <a:ln>
                      <a:noFill/>
                    </a:ln>
                  </pic:spPr>
                </pic:pic>
              </a:graphicData>
            </a:graphic>
          </wp:inline>
        </w:drawing>
      </w:r>
    </w:p>
    <w:p w14:paraId="3F4EF327">
      <w:pPr>
        <w:pStyle w:val="3"/>
        <w:rPr>
          <w:rFonts w:hint="default" w:ascii="Times New Roman" w:hAnsi="Times New Roman" w:cs="Times New Roman"/>
        </w:rPr>
      </w:pPr>
      <w:r>
        <w:rPr>
          <w:rFonts w:hint="default" w:ascii="Times New Roman" w:hAnsi="Times New Roman" w:cs="Times New Roman"/>
        </w:rPr>
        <w:t>模型筛选</w:t>
      </w:r>
    </w:p>
    <w:p w14:paraId="621CF806">
      <w:pPr>
        <w:ind w:firstLine="480"/>
        <w:rPr>
          <w:rFonts w:hint="default" w:ascii="Times New Roman" w:hAnsi="Times New Roman" w:cs="Times New Roman"/>
        </w:rPr>
      </w:pPr>
      <w:r>
        <w:rPr>
          <w:rFonts w:hint="default" w:ascii="Times New Roman" w:hAnsi="Times New Roman" w:cs="Times New Roman"/>
        </w:rPr>
        <w:t>以下界面展示了按照“多模态”标签筛选的模型列表展示。</w:t>
      </w:r>
    </w:p>
    <w:p w14:paraId="646C1A77">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075555" cy="1968500"/>
            <wp:effectExtent l="0" t="0" r="14605" b="1270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1"/>
                    <a:srcRect b="28997"/>
                    <a:stretch>
                      <a:fillRect/>
                    </a:stretch>
                  </pic:blipFill>
                  <pic:spPr>
                    <a:xfrm>
                      <a:off x="0" y="0"/>
                      <a:ext cx="5075555" cy="1968500"/>
                    </a:xfrm>
                    <a:prstGeom prst="rect">
                      <a:avLst/>
                    </a:prstGeom>
                    <a:noFill/>
                    <a:ln>
                      <a:noFill/>
                    </a:ln>
                  </pic:spPr>
                </pic:pic>
              </a:graphicData>
            </a:graphic>
          </wp:inline>
        </w:drawing>
      </w:r>
    </w:p>
    <w:p w14:paraId="5E6A7522">
      <w:pPr>
        <w:pStyle w:val="3"/>
        <w:rPr>
          <w:rFonts w:hint="default" w:ascii="Times New Roman" w:hAnsi="Times New Roman" w:cs="Times New Roman"/>
        </w:rPr>
      </w:pPr>
      <w:r>
        <w:rPr>
          <w:rFonts w:hint="default" w:ascii="Times New Roman" w:hAnsi="Times New Roman" w:cs="Times New Roman"/>
        </w:rPr>
        <w:t>模型列表展示</w:t>
      </w:r>
    </w:p>
    <w:p w14:paraId="03492478">
      <w:pPr>
        <w:ind w:firstLine="480"/>
        <w:rPr>
          <w:rFonts w:hint="default" w:ascii="Times New Roman" w:hAnsi="Times New Roman" w:cs="Times New Roman"/>
        </w:rPr>
      </w:pPr>
      <w:r>
        <w:rPr>
          <w:rFonts w:hint="default" w:ascii="Times New Roman" w:hAnsi="Times New Roman" w:cs="Times New Roman"/>
        </w:rPr>
        <w:t>3、支持模型排序，可以感觉创建时间由远及近、由近及远等排序</w:t>
      </w:r>
    </w:p>
    <w:p w14:paraId="54FC2DE7">
      <w:pPr>
        <w:pStyle w:val="3"/>
        <w:rPr>
          <w:rFonts w:hint="default" w:ascii="Times New Roman" w:hAnsi="Times New Roman" w:cs="Times New Roman"/>
        </w:rPr>
      </w:pPr>
      <w:r>
        <w:rPr>
          <w:rFonts w:hint="default" w:ascii="Times New Roman" w:hAnsi="Times New Roman" w:cs="Times New Roman"/>
        </w:rPr>
        <w:drawing>
          <wp:inline distT="0" distB="0" distL="114300" distR="114300">
            <wp:extent cx="5374640" cy="2757805"/>
            <wp:effectExtent l="0" t="0" r="508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2"/>
                    <a:stretch>
                      <a:fillRect/>
                    </a:stretch>
                  </pic:blipFill>
                  <pic:spPr>
                    <a:xfrm>
                      <a:off x="0" y="0"/>
                      <a:ext cx="5374640" cy="2757805"/>
                    </a:xfrm>
                    <a:prstGeom prst="rect">
                      <a:avLst/>
                    </a:prstGeom>
                    <a:noFill/>
                    <a:ln>
                      <a:noFill/>
                    </a:ln>
                  </pic:spPr>
                </pic:pic>
              </a:graphicData>
            </a:graphic>
          </wp:inline>
        </w:drawing>
      </w:r>
    </w:p>
    <w:p w14:paraId="0418E6F6">
      <w:pPr>
        <w:pStyle w:val="3"/>
        <w:rPr>
          <w:rFonts w:hint="default" w:ascii="Times New Roman" w:hAnsi="Times New Roman" w:cs="Times New Roman"/>
        </w:rPr>
      </w:pPr>
      <w:r>
        <w:rPr>
          <w:rFonts w:hint="default" w:ascii="Times New Roman" w:hAnsi="Times New Roman" w:cs="Times New Roman"/>
        </w:rPr>
        <w:t>模型排序</w:t>
      </w:r>
    </w:p>
    <w:p w14:paraId="54A17EE9">
      <w:pPr>
        <w:ind w:firstLine="480"/>
        <w:rPr>
          <w:rFonts w:hint="default" w:ascii="Times New Roman" w:hAnsi="Times New Roman" w:cs="Times New Roman"/>
        </w:rPr>
      </w:pPr>
      <w:r>
        <w:rPr>
          <w:rFonts w:hint="default" w:ascii="Times New Roman" w:hAnsi="Times New Roman" w:cs="Times New Roman"/>
        </w:rPr>
        <w:t>4、支持模型详情页</w:t>
      </w:r>
    </w:p>
    <w:p w14:paraId="09031A39">
      <w:pPr>
        <w:ind w:firstLine="480"/>
        <w:rPr>
          <w:rFonts w:hint="default" w:ascii="Times New Roman" w:hAnsi="Times New Roman" w:cs="Times New Roman"/>
        </w:rPr>
      </w:pPr>
      <w:r>
        <w:rPr>
          <w:rFonts w:hint="default" w:ascii="Times New Roman" w:hAnsi="Times New Roman" w:cs="Times New Roman"/>
        </w:rPr>
        <w:t>详情页展示模型的描述、创建人、创建时间和模型介绍内容。</w:t>
      </w:r>
    </w:p>
    <w:p w14:paraId="49752E98">
      <w:pPr>
        <w:ind w:firstLine="480"/>
        <w:rPr>
          <w:rFonts w:hint="default" w:ascii="Times New Roman" w:hAnsi="Times New Roman" w:cs="Times New Roman"/>
        </w:rPr>
      </w:pPr>
      <w:r>
        <w:rPr>
          <w:rFonts w:hint="default" w:ascii="Times New Roman" w:hAnsi="Times New Roman" w:cs="Times New Roman"/>
        </w:rPr>
        <w:t>支持一键收藏和部署。</w:t>
      </w:r>
    </w:p>
    <w:p w14:paraId="017B9960">
      <w:pPr>
        <w:widowControl/>
        <w:ind w:firstLine="0" w:firstLineChars="0"/>
        <w:jc w:val="center"/>
        <w:rPr>
          <w:rFonts w:hint="default" w:ascii="Times New Roman" w:hAnsi="Times New Roman" w:eastAsia="宋体" w:cs="Times New Roman"/>
        </w:rPr>
      </w:pPr>
      <w:r>
        <w:drawing>
          <wp:inline distT="0" distB="0" distL="114300" distR="114300">
            <wp:extent cx="5270500" cy="2599690"/>
            <wp:effectExtent l="0" t="0" r="2540" b="635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85"/>
                    <a:stretch>
                      <a:fillRect/>
                    </a:stretch>
                  </pic:blipFill>
                  <pic:spPr>
                    <a:xfrm>
                      <a:off x="0" y="0"/>
                      <a:ext cx="5270500" cy="2599690"/>
                    </a:xfrm>
                    <a:prstGeom prst="rect">
                      <a:avLst/>
                    </a:prstGeom>
                    <a:noFill/>
                    <a:ln>
                      <a:noFill/>
                    </a:ln>
                  </pic:spPr>
                </pic:pic>
              </a:graphicData>
            </a:graphic>
          </wp:inline>
        </w:drawing>
      </w:r>
    </w:p>
    <w:p w14:paraId="0EA2D61F">
      <w:pPr>
        <w:pStyle w:val="3"/>
        <w:rPr>
          <w:rFonts w:hint="eastAsia"/>
        </w:rPr>
      </w:pPr>
      <w:r>
        <w:rPr>
          <w:rFonts w:hint="default" w:ascii="Times New Roman" w:hAnsi="Times New Roman" w:cs="Times New Roman"/>
        </w:rPr>
        <w:t>模型详情</w:t>
      </w:r>
    </w:p>
    <w:p w14:paraId="01149E97">
      <w:pPr>
        <w:pStyle w:val="38"/>
        <w:numPr>
          <w:ilvl w:val="1"/>
          <w:numId w:val="1"/>
        </w:numPr>
        <w:outlineLvl w:val="1"/>
        <w:rPr>
          <w:rFonts w:hint="eastAsia"/>
        </w:rPr>
      </w:pPr>
      <w:r>
        <w:rPr>
          <w:rFonts w:hint="eastAsia"/>
        </w:rPr>
        <w:t>系统管理</w:t>
      </w:r>
    </w:p>
    <w:p w14:paraId="768AC54E">
      <w:pPr>
        <w:pStyle w:val="38"/>
        <w:numPr>
          <w:ilvl w:val="2"/>
          <w:numId w:val="1"/>
        </w:numPr>
        <w:outlineLvl w:val="2"/>
        <w:rPr>
          <w:rFonts w:hint="eastAsia"/>
        </w:rPr>
      </w:pPr>
      <w:r>
        <w:rPr>
          <w:rFonts w:hint="eastAsia"/>
        </w:rPr>
        <w:t>用户管理</w:t>
      </w:r>
    </w:p>
    <w:p w14:paraId="3EFC4806">
      <w:pPr>
        <w:pStyle w:val="38"/>
        <w:numPr>
          <w:ilvl w:val="3"/>
          <w:numId w:val="1"/>
        </w:numPr>
        <w:outlineLvl w:val="3"/>
        <w:rPr>
          <w:rFonts w:hint="eastAsia"/>
        </w:rPr>
      </w:pPr>
      <w:r>
        <w:rPr>
          <w:rFonts w:hint="eastAsia"/>
        </w:rPr>
        <w:t>用户管理</w:t>
      </w:r>
    </w:p>
    <w:p w14:paraId="57A7AD90">
      <w:pPr>
        <w:pStyle w:val="2"/>
        <w:rPr>
          <w:rFonts w:hint="eastAsia" w:ascii="宋体" w:hAnsi="宋体" w:cs="仿宋"/>
          <w:color w:val="000000"/>
          <w:kern w:val="0"/>
          <w:sz w:val="22"/>
          <w:szCs w:val="22"/>
          <w:lang w:bidi="ar"/>
        </w:rPr>
      </w:pPr>
      <w:r>
        <w:rPr>
          <w:rFonts w:hint="eastAsia" w:ascii="宋体" w:hAnsi="宋体" w:cs="仿宋"/>
          <w:color w:val="000000"/>
          <w:kern w:val="0"/>
          <w:sz w:val="22"/>
          <w:szCs w:val="22"/>
          <w:lang w:bidi="ar"/>
        </w:rPr>
        <w:t>用户管理主要实现对系统用户的新增、修改、删除、查询、密码重置、禁用/启用、锁定/解锁、详细信息查看、初始化等管理功能，并支持角色授权、批量操作及查看用户下个人账号明细信息。</w:t>
      </w:r>
    </w:p>
    <w:p w14:paraId="3959C016">
      <w:pPr>
        <w:pStyle w:val="2"/>
        <w:numPr>
          <w:ilvl w:val="0"/>
          <w:numId w:val="6"/>
        </w:numPr>
        <w:ind w:left="420" w:leftChars="0" w:hanging="420" w:firstLineChars="0"/>
        <w:rPr>
          <w:rFonts w:hint="default" w:ascii="宋体" w:hAnsi="宋体" w:eastAsia="宋体"/>
          <w:lang w:val="en-US" w:eastAsia="zh-CN"/>
        </w:rPr>
      </w:pPr>
      <w:r>
        <w:rPr>
          <w:rFonts w:hint="eastAsia" w:ascii="宋体" w:hAnsi="宋体"/>
        </w:rPr>
        <w:t>用户检索</w:t>
      </w:r>
      <w:r>
        <w:rPr>
          <w:rFonts w:hint="eastAsia" w:ascii="宋体" w:hAnsi="宋体"/>
          <w:lang w:eastAsia="zh-CN"/>
        </w:rPr>
        <w:t>：</w:t>
      </w:r>
      <w:r>
        <w:rPr>
          <w:rFonts w:hint="eastAsia" w:ascii="宋体" w:hAnsi="宋体"/>
          <w:lang w:val="en-US" w:eastAsia="zh-CN"/>
        </w:rPr>
        <w:t>可根据用户ID、用户名进行检索</w:t>
      </w:r>
    </w:p>
    <w:p w14:paraId="18DFED01">
      <w:pPr>
        <w:pStyle w:val="2"/>
      </w:pPr>
      <w:r>
        <w:drawing>
          <wp:inline distT="0" distB="0" distL="114300" distR="114300">
            <wp:extent cx="4982210" cy="1718945"/>
            <wp:effectExtent l="0" t="0" r="1270" b="3175"/>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86"/>
                    <a:stretch>
                      <a:fillRect/>
                    </a:stretch>
                  </pic:blipFill>
                  <pic:spPr>
                    <a:xfrm>
                      <a:off x="0" y="0"/>
                      <a:ext cx="4982210" cy="1718945"/>
                    </a:xfrm>
                    <a:prstGeom prst="rect">
                      <a:avLst/>
                    </a:prstGeom>
                    <a:noFill/>
                    <a:ln>
                      <a:noFill/>
                    </a:ln>
                  </pic:spPr>
                </pic:pic>
              </a:graphicData>
            </a:graphic>
          </wp:inline>
        </w:drawing>
      </w:r>
    </w:p>
    <w:p w14:paraId="778A9A80">
      <w:pPr>
        <w:pStyle w:val="2"/>
        <w:numPr>
          <w:ilvl w:val="0"/>
          <w:numId w:val="6"/>
        </w:numPr>
        <w:ind w:left="420" w:leftChars="0" w:hanging="420" w:firstLineChars="0"/>
        <w:rPr>
          <w:rFonts w:hint="default" w:eastAsia="宋体"/>
          <w:lang w:val="en-US" w:eastAsia="zh-CN"/>
        </w:rPr>
      </w:pPr>
      <w:r>
        <w:rPr>
          <w:rFonts w:hint="eastAsia"/>
        </w:rPr>
        <w:t>新建用户</w:t>
      </w:r>
      <w:r>
        <w:rPr>
          <w:rFonts w:hint="eastAsia"/>
          <w:lang w:eastAsia="zh-CN"/>
        </w:rPr>
        <w:t>：</w:t>
      </w:r>
      <w:r>
        <w:rPr>
          <w:rFonts w:hint="eastAsia"/>
          <w:lang w:val="en-US" w:eastAsia="zh-CN"/>
        </w:rPr>
        <w:t>通过在新增页面填写用户ID、用户名、密码、邮箱、默认团队等信息进行模型的新增</w:t>
      </w:r>
    </w:p>
    <w:p w14:paraId="0E875AF1">
      <w:pPr>
        <w:pStyle w:val="2"/>
      </w:pPr>
      <w:r>
        <w:drawing>
          <wp:inline distT="0" distB="0" distL="114300" distR="114300">
            <wp:extent cx="4991735" cy="9594850"/>
            <wp:effectExtent l="0" t="0" r="6985" b="635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87"/>
                    <a:stretch>
                      <a:fillRect/>
                    </a:stretch>
                  </pic:blipFill>
                  <pic:spPr>
                    <a:xfrm>
                      <a:off x="0" y="0"/>
                      <a:ext cx="4991735" cy="9594850"/>
                    </a:xfrm>
                    <a:prstGeom prst="rect">
                      <a:avLst/>
                    </a:prstGeom>
                    <a:noFill/>
                    <a:ln>
                      <a:noFill/>
                    </a:ln>
                  </pic:spPr>
                </pic:pic>
              </a:graphicData>
            </a:graphic>
          </wp:inline>
        </w:drawing>
      </w:r>
    </w:p>
    <w:p w14:paraId="402B40AF">
      <w:pPr>
        <w:pStyle w:val="2"/>
        <w:numPr>
          <w:ilvl w:val="0"/>
          <w:numId w:val="6"/>
        </w:numPr>
        <w:ind w:left="420" w:leftChars="0" w:hanging="420" w:firstLineChars="0"/>
        <w:rPr>
          <w:rFonts w:hint="eastAsia"/>
        </w:rPr>
      </w:pPr>
      <w:r>
        <w:rPr>
          <w:rFonts w:hint="eastAsia" w:ascii="宋体" w:hAnsi="宋体" w:cs="仿宋"/>
          <w:color w:val="000000"/>
          <w:kern w:val="0"/>
          <w:sz w:val="22"/>
          <w:szCs w:val="22"/>
          <w:lang w:bidi="ar"/>
        </w:rPr>
        <w:t>密码重置</w:t>
      </w:r>
      <w:r>
        <w:rPr>
          <w:rFonts w:hint="eastAsia" w:ascii="宋体" w:hAnsi="宋体" w:cs="仿宋"/>
          <w:color w:val="000000"/>
          <w:kern w:val="0"/>
          <w:sz w:val="22"/>
          <w:szCs w:val="22"/>
          <w:lang w:eastAsia="zh-CN" w:bidi="ar"/>
        </w:rPr>
        <w:t>：</w:t>
      </w:r>
      <w:r>
        <w:rPr>
          <w:rFonts w:hint="eastAsia" w:ascii="宋体" w:hAnsi="宋体" w:cs="仿宋"/>
          <w:color w:val="000000"/>
          <w:kern w:val="0"/>
          <w:sz w:val="22"/>
          <w:szCs w:val="22"/>
          <w:lang w:val="en-US" w:eastAsia="zh-CN" w:bidi="ar"/>
        </w:rPr>
        <w:t>支持修改密码功能对密码进行重置。</w:t>
      </w:r>
    </w:p>
    <w:p w14:paraId="2E7DC3DC">
      <w:pPr>
        <w:pStyle w:val="2"/>
      </w:pPr>
      <w:r>
        <w:drawing>
          <wp:inline distT="0" distB="0" distL="114300" distR="114300">
            <wp:extent cx="4836160" cy="1671320"/>
            <wp:effectExtent l="0" t="0" r="10160" b="5080"/>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88"/>
                    <a:stretch>
                      <a:fillRect/>
                    </a:stretch>
                  </pic:blipFill>
                  <pic:spPr>
                    <a:xfrm>
                      <a:off x="0" y="0"/>
                      <a:ext cx="4836160" cy="1671320"/>
                    </a:xfrm>
                    <a:prstGeom prst="rect">
                      <a:avLst/>
                    </a:prstGeom>
                    <a:noFill/>
                    <a:ln>
                      <a:noFill/>
                    </a:ln>
                  </pic:spPr>
                </pic:pic>
              </a:graphicData>
            </a:graphic>
          </wp:inline>
        </w:drawing>
      </w:r>
    </w:p>
    <w:p w14:paraId="5121EFA8">
      <w:pPr>
        <w:pStyle w:val="2"/>
      </w:pPr>
    </w:p>
    <w:p w14:paraId="730673DE">
      <w:pPr>
        <w:pStyle w:val="2"/>
      </w:pPr>
      <w:r>
        <w:drawing>
          <wp:inline distT="0" distB="0" distL="114300" distR="114300">
            <wp:extent cx="4954905" cy="1277620"/>
            <wp:effectExtent l="0" t="0" r="13335" b="2540"/>
            <wp:docPr id="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pic:cNvPicPr>
                      <a:picLocks noChangeAspect="1"/>
                    </pic:cNvPicPr>
                  </pic:nvPicPr>
                  <pic:blipFill>
                    <a:blip r:embed="rId89"/>
                    <a:stretch>
                      <a:fillRect/>
                    </a:stretch>
                  </pic:blipFill>
                  <pic:spPr>
                    <a:xfrm>
                      <a:off x="0" y="0"/>
                      <a:ext cx="4954905" cy="1277620"/>
                    </a:xfrm>
                    <a:prstGeom prst="rect">
                      <a:avLst/>
                    </a:prstGeom>
                    <a:noFill/>
                    <a:ln>
                      <a:noFill/>
                    </a:ln>
                  </pic:spPr>
                </pic:pic>
              </a:graphicData>
            </a:graphic>
          </wp:inline>
        </w:drawing>
      </w:r>
    </w:p>
    <w:p w14:paraId="4449A521">
      <w:pPr>
        <w:pStyle w:val="2"/>
        <w:numPr>
          <w:ilvl w:val="0"/>
          <w:numId w:val="6"/>
        </w:numPr>
        <w:ind w:left="420" w:leftChars="0" w:hanging="420" w:firstLineChars="0"/>
        <w:rPr>
          <w:rFonts w:hint="eastAsia"/>
        </w:rPr>
      </w:pPr>
      <w:r>
        <w:rPr>
          <w:rFonts w:hint="eastAsia"/>
        </w:rPr>
        <w:t>用户角色分配</w:t>
      </w:r>
      <w:r>
        <w:rPr>
          <w:rFonts w:hint="eastAsia"/>
          <w:lang w:eastAsia="zh-CN"/>
        </w:rPr>
        <w:t>：</w:t>
      </w:r>
      <w:r>
        <w:rPr>
          <w:rFonts w:hint="eastAsia"/>
          <w:lang w:val="en-US" w:eastAsia="zh-CN"/>
        </w:rPr>
        <w:t>支持角色分配功能对用户角色进行分配。</w:t>
      </w:r>
    </w:p>
    <w:p w14:paraId="066677E5">
      <w:pPr>
        <w:pStyle w:val="2"/>
      </w:pPr>
      <w:r>
        <w:drawing>
          <wp:inline distT="0" distB="0" distL="114300" distR="114300">
            <wp:extent cx="5071745" cy="3036570"/>
            <wp:effectExtent l="0" t="0" r="3175" b="1143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90"/>
                    <a:stretch>
                      <a:fillRect/>
                    </a:stretch>
                  </pic:blipFill>
                  <pic:spPr>
                    <a:xfrm>
                      <a:off x="0" y="0"/>
                      <a:ext cx="5071745" cy="3036570"/>
                    </a:xfrm>
                    <a:prstGeom prst="rect">
                      <a:avLst/>
                    </a:prstGeom>
                    <a:noFill/>
                    <a:ln>
                      <a:noFill/>
                    </a:ln>
                  </pic:spPr>
                </pic:pic>
              </a:graphicData>
            </a:graphic>
          </wp:inline>
        </w:drawing>
      </w:r>
    </w:p>
    <w:p w14:paraId="7B30D2C4">
      <w:pPr>
        <w:pStyle w:val="45"/>
        <w:bidi w:val="0"/>
      </w:pPr>
      <w:r>
        <w:drawing>
          <wp:inline distT="0" distB="0" distL="114300" distR="114300">
            <wp:extent cx="5278755" cy="1313180"/>
            <wp:effectExtent l="0" t="0" r="9525" b="1270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91"/>
                    <a:stretch>
                      <a:fillRect/>
                    </a:stretch>
                  </pic:blipFill>
                  <pic:spPr>
                    <a:xfrm>
                      <a:off x="0" y="0"/>
                      <a:ext cx="5278755" cy="1313180"/>
                    </a:xfrm>
                    <a:prstGeom prst="rect">
                      <a:avLst/>
                    </a:prstGeom>
                    <a:noFill/>
                    <a:ln>
                      <a:noFill/>
                    </a:ln>
                  </pic:spPr>
                </pic:pic>
              </a:graphicData>
            </a:graphic>
          </wp:inline>
        </w:drawing>
      </w:r>
    </w:p>
    <w:p w14:paraId="51F711AB">
      <w:pPr>
        <w:pStyle w:val="2"/>
        <w:numPr>
          <w:ilvl w:val="0"/>
          <w:numId w:val="6"/>
        </w:numPr>
        <w:ind w:left="420" w:leftChars="0" w:hanging="420" w:firstLineChars="0"/>
        <w:rPr>
          <w:rFonts w:hint="default" w:cs="Times New Roman"/>
          <w:lang w:val="en-US" w:eastAsia="zh-CN"/>
        </w:rPr>
      </w:pPr>
      <w:r>
        <w:rPr>
          <w:rFonts w:hint="eastAsia" w:cs="Times New Roman"/>
          <w:lang w:val="en-US" w:eastAsia="zh-CN"/>
        </w:rPr>
        <w:t>用户修改：支持用户编辑功能，对用户进行修改。</w:t>
      </w:r>
    </w:p>
    <w:p w14:paraId="1C8ECF7C">
      <w:pPr>
        <w:pStyle w:val="45"/>
        <w:bidi w:val="0"/>
      </w:pPr>
      <w:r>
        <w:drawing>
          <wp:inline distT="0" distB="0" distL="114300" distR="114300">
            <wp:extent cx="6339840" cy="3669665"/>
            <wp:effectExtent l="0" t="0" r="0" b="3175"/>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92"/>
                    <a:stretch>
                      <a:fillRect/>
                    </a:stretch>
                  </pic:blipFill>
                  <pic:spPr>
                    <a:xfrm>
                      <a:off x="0" y="0"/>
                      <a:ext cx="6339840" cy="3669665"/>
                    </a:xfrm>
                    <a:prstGeom prst="rect">
                      <a:avLst/>
                    </a:prstGeom>
                    <a:noFill/>
                    <a:ln>
                      <a:noFill/>
                    </a:ln>
                  </pic:spPr>
                </pic:pic>
              </a:graphicData>
            </a:graphic>
          </wp:inline>
        </w:drawing>
      </w:r>
    </w:p>
    <w:p w14:paraId="6476117A">
      <w:pPr>
        <w:pStyle w:val="2"/>
        <w:numPr>
          <w:ilvl w:val="0"/>
          <w:numId w:val="6"/>
        </w:numPr>
        <w:ind w:left="420" w:leftChars="0" w:hanging="420" w:firstLineChars="0"/>
        <w:rPr>
          <w:rFonts w:hint="default" w:cs="Times New Roman"/>
          <w:lang w:val="en-US" w:eastAsia="zh-CN"/>
        </w:rPr>
      </w:pPr>
      <w:r>
        <w:rPr>
          <w:rFonts w:hint="eastAsia" w:cs="Times New Roman"/>
          <w:lang w:val="en-US" w:eastAsia="zh-CN"/>
        </w:rPr>
        <w:t>用户删除：支持用户删除功能，对用户进行删除。</w:t>
      </w:r>
    </w:p>
    <w:p w14:paraId="44F99692">
      <w:pPr>
        <w:pStyle w:val="2"/>
        <w:numPr>
          <w:ilvl w:val="0"/>
          <w:numId w:val="0"/>
        </w:numPr>
        <w:ind w:leftChars="0"/>
      </w:pPr>
      <w:r>
        <w:drawing>
          <wp:inline distT="0" distB="0" distL="114300" distR="114300">
            <wp:extent cx="6334125" cy="3119120"/>
            <wp:effectExtent l="0" t="0" r="5715" b="5080"/>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pic:cNvPicPr>
                  </pic:nvPicPr>
                  <pic:blipFill>
                    <a:blip r:embed="rId93"/>
                    <a:stretch>
                      <a:fillRect/>
                    </a:stretch>
                  </pic:blipFill>
                  <pic:spPr>
                    <a:xfrm>
                      <a:off x="0" y="0"/>
                      <a:ext cx="6334125" cy="3119120"/>
                    </a:xfrm>
                    <a:prstGeom prst="rect">
                      <a:avLst/>
                    </a:prstGeom>
                    <a:noFill/>
                    <a:ln>
                      <a:noFill/>
                    </a:ln>
                  </pic:spPr>
                </pic:pic>
              </a:graphicData>
            </a:graphic>
          </wp:inline>
        </w:drawing>
      </w:r>
    </w:p>
    <w:p w14:paraId="3FEB8A43">
      <w:pPr>
        <w:pStyle w:val="2"/>
        <w:numPr>
          <w:ilvl w:val="0"/>
          <w:numId w:val="6"/>
        </w:numPr>
        <w:ind w:left="420" w:leftChars="0" w:hanging="420" w:firstLineChars="0"/>
        <w:rPr>
          <w:rFonts w:hint="default" w:cs="Times New Roman"/>
          <w:lang w:val="en-US" w:eastAsia="zh-CN"/>
        </w:rPr>
      </w:pPr>
      <w:r>
        <w:rPr>
          <w:rFonts w:hint="eastAsia" w:ascii="宋体" w:hAnsi="宋体" w:cs="仿宋"/>
          <w:color w:val="000000"/>
          <w:kern w:val="0"/>
          <w:sz w:val="22"/>
          <w:szCs w:val="22"/>
          <w:lang w:bidi="ar"/>
        </w:rPr>
        <w:t>禁用/启用</w:t>
      </w:r>
      <w:r>
        <w:rPr>
          <w:rFonts w:hint="eastAsia" w:ascii="宋体" w:hAnsi="宋体" w:cs="仿宋"/>
          <w:color w:val="000000"/>
          <w:kern w:val="0"/>
          <w:sz w:val="22"/>
          <w:szCs w:val="22"/>
          <w:lang w:eastAsia="zh-CN" w:bidi="ar"/>
        </w:rPr>
        <w:t>、</w:t>
      </w:r>
      <w:r>
        <w:rPr>
          <w:rFonts w:hint="eastAsia" w:ascii="宋体" w:hAnsi="宋体" w:cs="仿宋"/>
          <w:color w:val="000000"/>
          <w:kern w:val="0"/>
          <w:sz w:val="22"/>
          <w:szCs w:val="22"/>
          <w:lang w:val="en-US" w:eastAsia="zh-CN" w:bidi="ar"/>
        </w:rPr>
        <w:t>锁定和解锁</w:t>
      </w:r>
      <w:r>
        <w:rPr>
          <w:rFonts w:hint="eastAsia" w:cs="Times New Roman"/>
          <w:lang w:val="en-US" w:eastAsia="zh-CN"/>
        </w:rPr>
        <w:t>：通过启用禁用，锁定解锁功能避免暴力破解保证用户账号的安全。</w:t>
      </w:r>
    </w:p>
    <w:p w14:paraId="219FEAD5">
      <w:pPr>
        <w:pStyle w:val="2"/>
        <w:numPr>
          <w:ilvl w:val="0"/>
          <w:numId w:val="0"/>
        </w:numPr>
        <w:ind w:leftChars="0"/>
      </w:pPr>
      <w:r>
        <w:drawing>
          <wp:inline distT="0" distB="0" distL="114300" distR="114300">
            <wp:extent cx="6335395" cy="3172460"/>
            <wp:effectExtent l="0" t="0" r="4445" b="12700"/>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94"/>
                    <a:stretch>
                      <a:fillRect/>
                    </a:stretch>
                  </pic:blipFill>
                  <pic:spPr>
                    <a:xfrm>
                      <a:off x="0" y="0"/>
                      <a:ext cx="6335395" cy="3172460"/>
                    </a:xfrm>
                    <a:prstGeom prst="rect">
                      <a:avLst/>
                    </a:prstGeom>
                    <a:noFill/>
                    <a:ln>
                      <a:noFill/>
                    </a:ln>
                  </pic:spPr>
                </pic:pic>
              </a:graphicData>
            </a:graphic>
          </wp:inline>
        </w:drawing>
      </w:r>
    </w:p>
    <w:p w14:paraId="61FF4EF2">
      <w:pPr>
        <w:pStyle w:val="2"/>
        <w:numPr>
          <w:ilvl w:val="0"/>
          <w:numId w:val="6"/>
        </w:numPr>
        <w:ind w:left="420" w:leftChars="0" w:hanging="420" w:firstLineChars="0"/>
        <w:rPr>
          <w:rFonts w:hint="default"/>
          <w:lang w:val="en-US" w:eastAsia="zh-CN"/>
        </w:rPr>
      </w:pPr>
      <w:r>
        <w:rPr>
          <w:rFonts w:hint="eastAsia" w:ascii="宋体" w:hAnsi="宋体" w:cs="仿宋"/>
          <w:color w:val="000000"/>
          <w:kern w:val="0"/>
          <w:sz w:val="22"/>
          <w:szCs w:val="22"/>
          <w:lang w:bidi="ar"/>
        </w:rPr>
        <w:t>详细信息查看</w:t>
      </w:r>
      <w:r>
        <w:rPr>
          <w:rFonts w:hint="eastAsia" w:ascii="宋体" w:hAnsi="宋体" w:cs="仿宋"/>
          <w:color w:val="000000"/>
          <w:kern w:val="0"/>
          <w:sz w:val="22"/>
          <w:szCs w:val="22"/>
          <w:lang w:eastAsia="zh-CN" w:bidi="ar"/>
        </w:rPr>
        <w:t>：</w:t>
      </w:r>
      <w:r>
        <w:rPr>
          <w:rFonts w:hint="eastAsia" w:ascii="宋体" w:hAnsi="宋体" w:cs="仿宋"/>
          <w:color w:val="000000"/>
          <w:kern w:val="0"/>
          <w:sz w:val="22"/>
          <w:szCs w:val="22"/>
          <w:lang w:val="en-US" w:eastAsia="zh-CN" w:bidi="ar"/>
        </w:rPr>
        <w:t>支持用户详细信息查看功能，可查看用户的基本信息。</w:t>
      </w:r>
    </w:p>
    <w:p w14:paraId="3013C475">
      <w:pPr>
        <w:pStyle w:val="2"/>
        <w:numPr>
          <w:ilvl w:val="0"/>
          <w:numId w:val="0"/>
        </w:numPr>
        <w:ind w:leftChars="0"/>
      </w:pPr>
      <w:r>
        <w:drawing>
          <wp:inline distT="0" distB="0" distL="114300" distR="114300">
            <wp:extent cx="6335395" cy="3179445"/>
            <wp:effectExtent l="0" t="0" r="4445" b="5715"/>
            <wp:docPr id="3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2"/>
                    <pic:cNvPicPr>
                      <a:picLocks noChangeAspect="1"/>
                    </pic:cNvPicPr>
                  </pic:nvPicPr>
                  <pic:blipFill>
                    <a:blip r:embed="rId95"/>
                    <a:stretch>
                      <a:fillRect/>
                    </a:stretch>
                  </pic:blipFill>
                  <pic:spPr>
                    <a:xfrm>
                      <a:off x="0" y="0"/>
                      <a:ext cx="6335395" cy="3179445"/>
                    </a:xfrm>
                    <a:prstGeom prst="rect">
                      <a:avLst/>
                    </a:prstGeom>
                    <a:noFill/>
                    <a:ln>
                      <a:noFill/>
                    </a:ln>
                  </pic:spPr>
                </pic:pic>
              </a:graphicData>
            </a:graphic>
          </wp:inline>
        </w:drawing>
      </w:r>
    </w:p>
    <w:p w14:paraId="6BEF1290">
      <w:pPr>
        <w:pStyle w:val="2"/>
        <w:numPr>
          <w:ilvl w:val="0"/>
          <w:numId w:val="6"/>
        </w:numPr>
        <w:ind w:left="420" w:leftChars="0" w:hanging="420" w:firstLineChars="0"/>
        <w:rPr>
          <w:rFonts w:hint="eastAsia"/>
          <w:lang w:val="en-US" w:eastAsia="zh-CN"/>
        </w:rPr>
      </w:pPr>
      <w:r>
        <w:rPr>
          <w:rFonts w:hint="eastAsia"/>
          <w:lang w:val="en-US" w:eastAsia="zh-CN"/>
        </w:rPr>
        <w:t>初始化：通过对用户信息的编辑功能对用户的标签等一些基本信息进行初始化。</w:t>
      </w:r>
    </w:p>
    <w:p w14:paraId="4F39B0DB">
      <w:pPr>
        <w:pStyle w:val="2"/>
        <w:numPr>
          <w:ilvl w:val="0"/>
          <w:numId w:val="0"/>
        </w:numPr>
        <w:ind w:leftChars="0"/>
        <w:rPr>
          <w:rFonts w:hint="default"/>
          <w:lang w:val="en-US" w:eastAsia="zh-CN"/>
        </w:rPr>
      </w:pPr>
      <w:r>
        <w:drawing>
          <wp:inline distT="0" distB="0" distL="114300" distR="114300">
            <wp:extent cx="6330950" cy="3165475"/>
            <wp:effectExtent l="0" t="0" r="8890" b="4445"/>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ChangeAspect="1"/>
                    </pic:cNvPicPr>
                  </pic:nvPicPr>
                  <pic:blipFill>
                    <a:blip r:embed="rId96"/>
                    <a:stretch>
                      <a:fillRect/>
                    </a:stretch>
                  </pic:blipFill>
                  <pic:spPr>
                    <a:xfrm>
                      <a:off x="0" y="0"/>
                      <a:ext cx="6330950" cy="3165475"/>
                    </a:xfrm>
                    <a:prstGeom prst="rect">
                      <a:avLst/>
                    </a:prstGeom>
                    <a:noFill/>
                    <a:ln>
                      <a:noFill/>
                    </a:ln>
                  </pic:spPr>
                </pic:pic>
              </a:graphicData>
            </a:graphic>
          </wp:inline>
        </w:drawing>
      </w:r>
    </w:p>
    <w:p w14:paraId="3B7DC890">
      <w:pPr>
        <w:pStyle w:val="2"/>
        <w:numPr>
          <w:ilvl w:val="0"/>
          <w:numId w:val="6"/>
        </w:numPr>
        <w:ind w:left="420" w:leftChars="0" w:hanging="420" w:firstLineChars="0"/>
        <w:rPr>
          <w:rFonts w:hint="eastAsia"/>
          <w:lang w:val="en-US" w:eastAsia="zh-CN"/>
        </w:rPr>
      </w:pPr>
      <w:r>
        <w:rPr>
          <w:rFonts w:hint="eastAsia"/>
          <w:lang w:val="en-US" w:eastAsia="zh-CN"/>
        </w:rPr>
        <w:t>批量操作功能：支持对用户进行批量删除、启用、禁用等功能。</w:t>
      </w:r>
    </w:p>
    <w:p w14:paraId="386177FE">
      <w:pPr>
        <w:pStyle w:val="2"/>
        <w:numPr>
          <w:ilvl w:val="0"/>
          <w:numId w:val="0"/>
        </w:numPr>
        <w:ind w:leftChars="0"/>
        <w:rPr>
          <w:rFonts w:hint="default"/>
          <w:lang w:val="en-US" w:eastAsia="zh-CN"/>
        </w:rPr>
      </w:pPr>
      <w:r>
        <w:drawing>
          <wp:inline distT="0" distB="0" distL="114300" distR="114300">
            <wp:extent cx="6334125" cy="3183890"/>
            <wp:effectExtent l="0" t="0" r="5715" b="1270"/>
            <wp:docPr id="3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4"/>
                    <pic:cNvPicPr>
                      <a:picLocks noChangeAspect="1"/>
                    </pic:cNvPicPr>
                  </pic:nvPicPr>
                  <pic:blipFill>
                    <a:blip r:embed="rId97"/>
                    <a:stretch>
                      <a:fillRect/>
                    </a:stretch>
                  </pic:blipFill>
                  <pic:spPr>
                    <a:xfrm>
                      <a:off x="0" y="0"/>
                      <a:ext cx="6334125" cy="3183890"/>
                    </a:xfrm>
                    <a:prstGeom prst="rect">
                      <a:avLst/>
                    </a:prstGeom>
                    <a:noFill/>
                    <a:ln>
                      <a:noFill/>
                    </a:ln>
                  </pic:spPr>
                </pic:pic>
              </a:graphicData>
            </a:graphic>
          </wp:inline>
        </w:drawing>
      </w:r>
    </w:p>
    <w:p w14:paraId="5C244707">
      <w:pPr>
        <w:pStyle w:val="45"/>
        <w:numPr>
          <w:ilvl w:val="0"/>
          <w:numId w:val="6"/>
        </w:numPr>
        <w:bidi w:val="0"/>
        <w:ind w:left="420" w:leftChars="0" w:hanging="420" w:firstLineChars="0"/>
        <w:rPr>
          <w:rFonts w:hint="eastAsia" w:ascii="宋体" w:hAnsi="宋体" w:cs="仿宋"/>
          <w:color w:val="000000"/>
          <w:kern w:val="0"/>
          <w:sz w:val="22"/>
          <w:szCs w:val="22"/>
          <w:lang w:val="en-US" w:eastAsia="zh-CN" w:bidi="ar"/>
        </w:rPr>
      </w:pPr>
      <w:r>
        <w:rPr>
          <w:rFonts w:hint="eastAsia" w:ascii="宋体" w:hAnsi="宋体" w:cs="仿宋"/>
          <w:color w:val="000000"/>
          <w:kern w:val="0"/>
          <w:sz w:val="22"/>
          <w:szCs w:val="22"/>
          <w:lang w:bidi="ar"/>
        </w:rPr>
        <w:t>查看用户下个人账号明细信息</w:t>
      </w:r>
      <w:r>
        <w:rPr>
          <w:rFonts w:hint="eastAsia" w:ascii="宋体" w:hAnsi="宋体" w:cs="仿宋"/>
          <w:color w:val="000000"/>
          <w:kern w:val="0"/>
          <w:sz w:val="22"/>
          <w:szCs w:val="22"/>
          <w:lang w:eastAsia="zh-CN" w:bidi="ar"/>
        </w:rPr>
        <w:t>：</w:t>
      </w:r>
      <w:r>
        <w:rPr>
          <w:rFonts w:hint="eastAsia" w:ascii="宋体" w:hAnsi="宋体" w:cs="仿宋"/>
          <w:color w:val="000000"/>
          <w:kern w:val="0"/>
          <w:sz w:val="22"/>
          <w:szCs w:val="22"/>
          <w:lang w:val="en-US" w:eastAsia="zh-CN" w:bidi="ar"/>
        </w:rPr>
        <w:t>支持在详情中查看用户的组织、个人详细信息等具体内容。</w:t>
      </w:r>
    </w:p>
    <w:p w14:paraId="6C940028">
      <w:pPr>
        <w:pStyle w:val="45"/>
        <w:bidi w:val="0"/>
        <w:ind w:left="0" w:leftChars="0" w:firstLine="0" w:firstLineChars="0"/>
        <w:rPr>
          <w:rFonts w:hint="default" w:ascii="宋体" w:hAnsi="宋体" w:cs="仿宋"/>
          <w:color w:val="000000"/>
          <w:kern w:val="0"/>
          <w:sz w:val="22"/>
          <w:szCs w:val="22"/>
          <w:lang w:val="en-US" w:eastAsia="zh-CN" w:bidi="ar"/>
        </w:rPr>
      </w:pPr>
      <w:r>
        <w:drawing>
          <wp:inline distT="0" distB="0" distL="114300" distR="114300">
            <wp:extent cx="6340475" cy="3023870"/>
            <wp:effectExtent l="0" t="0" r="14605" b="8890"/>
            <wp:docPr id="3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5"/>
                    <pic:cNvPicPr>
                      <a:picLocks noChangeAspect="1"/>
                    </pic:cNvPicPr>
                  </pic:nvPicPr>
                  <pic:blipFill>
                    <a:blip r:embed="rId98"/>
                    <a:stretch>
                      <a:fillRect/>
                    </a:stretch>
                  </pic:blipFill>
                  <pic:spPr>
                    <a:xfrm>
                      <a:off x="0" y="0"/>
                      <a:ext cx="6340475" cy="3023870"/>
                    </a:xfrm>
                    <a:prstGeom prst="rect">
                      <a:avLst/>
                    </a:prstGeom>
                    <a:noFill/>
                    <a:ln>
                      <a:noFill/>
                    </a:ln>
                  </pic:spPr>
                </pic:pic>
              </a:graphicData>
            </a:graphic>
          </wp:inline>
        </w:drawing>
      </w:r>
    </w:p>
    <w:p w14:paraId="6AEEBAD9">
      <w:pPr>
        <w:pStyle w:val="45"/>
        <w:bidi w:val="0"/>
        <w:rPr>
          <w:rFonts w:hint="eastAsia"/>
          <w:lang w:val="en-US" w:eastAsia="zh-CN"/>
        </w:rPr>
      </w:pPr>
    </w:p>
    <w:p w14:paraId="30F708E4">
      <w:pPr>
        <w:pStyle w:val="45"/>
        <w:bidi w:val="0"/>
        <w:rPr>
          <w:rFonts w:hint="eastAsia"/>
          <w:lang w:val="en-US" w:eastAsia="zh-CN"/>
        </w:rPr>
      </w:pPr>
    </w:p>
    <w:p w14:paraId="583EB58B">
      <w:pPr>
        <w:pStyle w:val="45"/>
        <w:bidi w:val="0"/>
        <w:rPr>
          <w:rFonts w:hint="default"/>
          <w:lang w:val="en-US" w:eastAsia="zh-CN"/>
        </w:rPr>
      </w:pPr>
    </w:p>
    <w:p w14:paraId="44C04463">
      <w:pPr>
        <w:pStyle w:val="38"/>
        <w:numPr>
          <w:ilvl w:val="3"/>
          <w:numId w:val="1"/>
        </w:numPr>
        <w:outlineLvl w:val="3"/>
        <w:rPr>
          <w:rFonts w:hint="eastAsia"/>
        </w:rPr>
      </w:pPr>
      <w:r>
        <w:rPr>
          <w:rFonts w:hint="eastAsia"/>
        </w:rPr>
        <w:t>组织管理</w:t>
      </w:r>
    </w:p>
    <w:p w14:paraId="1FA6155B">
      <w:pPr>
        <w:pStyle w:val="2"/>
        <w:rPr>
          <w:rFonts w:hint="eastAsia" w:ascii="宋体" w:hAnsi="宋体" w:cs="仿宋"/>
          <w:color w:val="000000"/>
          <w:kern w:val="0"/>
          <w:sz w:val="22"/>
          <w:szCs w:val="22"/>
          <w:lang w:bidi="ar"/>
        </w:rPr>
      </w:pPr>
      <w:r>
        <w:rPr>
          <w:rFonts w:hint="eastAsia" w:ascii="宋体" w:hAnsi="宋体" w:cs="仿宋"/>
          <w:color w:val="000000"/>
          <w:kern w:val="0"/>
          <w:sz w:val="22"/>
          <w:szCs w:val="22"/>
          <w:lang w:bidi="ar"/>
        </w:rPr>
        <w:t>组织管理主要实现组织的增删改查及用户信息展示，支持组织和其详细信息的新增、修改，以目录树形式分层展示，并展示各层级组织下的用户信息。</w:t>
      </w:r>
    </w:p>
    <w:p w14:paraId="62EF7B90">
      <w:pPr>
        <w:pStyle w:val="45"/>
        <w:numPr>
          <w:ilvl w:val="0"/>
          <w:numId w:val="6"/>
        </w:numPr>
        <w:bidi w:val="0"/>
        <w:ind w:left="420" w:leftChars="0" w:hanging="420" w:firstLineChars="0"/>
        <w:rPr>
          <w:rFonts w:hint="default" w:ascii="宋体" w:hAnsi="宋体" w:cs="仿宋"/>
          <w:color w:val="000000"/>
          <w:kern w:val="0"/>
          <w:sz w:val="22"/>
          <w:szCs w:val="22"/>
          <w:lang w:val="en-US" w:eastAsia="zh-CN" w:bidi="ar"/>
        </w:rPr>
      </w:pPr>
      <w:r>
        <w:rPr>
          <w:rFonts w:hint="eastAsia" w:ascii="宋体" w:hAnsi="宋体" w:cs="仿宋"/>
          <w:color w:val="000000"/>
          <w:kern w:val="0"/>
          <w:sz w:val="22"/>
          <w:szCs w:val="22"/>
          <w:lang w:val="en-US" w:eastAsia="zh-CN" w:bidi="ar"/>
        </w:rPr>
        <w:t>组织新增：组织管理支持在组织树上新增下级组织。</w:t>
      </w:r>
    </w:p>
    <w:p w14:paraId="52339FD8">
      <w:pPr>
        <w:pStyle w:val="2"/>
        <w:ind w:left="0" w:leftChars="0" w:firstLine="0" w:firstLineChars="0"/>
      </w:pPr>
      <w:r>
        <w:drawing>
          <wp:inline distT="0" distB="0" distL="114300" distR="114300">
            <wp:extent cx="6327140" cy="3129915"/>
            <wp:effectExtent l="0" t="0" r="12700" b="952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99"/>
                    <a:stretch>
                      <a:fillRect/>
                    </a:stretch>
                  </pic:blipFill>
                  <pic:spPr>
                    <a:xfrm>
                      <a:off x="0" y="0"/>
                      <a:ext cx="6327140" cy="3129915"/>
                    </a:xfrm>
                    <a:prstGeom prst="rect">
                      <a:avLst/>
                    </a:prstGeom>
                    <a:noFill/>
                    <a:ln>
                      <a:noFill/>
                    </a:ln>
                  </pic:spPr>
                </pic:pic>
              </a:graphicData>
            </a:graphic>
          </wp:inline>
        </w:drawing>
      </w:r>
    </w:p>
    <w:p w14:paraId="6B21BCD3">
      <w:pPr>
        <w:pStyle w:val="2"/>
        <w:ind w:left="0" w:leftChars="0" w:firstLine="0" w:firstLineChars="0"/>
      </w:pPr>
      <w:r>
        <w:drawing>
          <wp:inline distT="0" distB="0" distL="114300" distR="114300">
            <wp:extent cx="6330315" cy="3283585"/>
            <wp:effectExtent l="0" t="0" r="9525" b="825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00"/>
                    <a:stretch>
                      <a:fillRect/>
                    </a:stretch>
                  </pic:blipFill>
                  <pic:spPr>
                    <a:xfrm>
                      <a:off x="0" y="0"/>
                      <a:ext cx="6330315" cy="3283585"/>
                    </a:xfrm>
                    <a:prstGeom prst="rect">
                      <a:avLst/>
                    </a:prstGeom>
                    <a:noFill/>
                    <a:ln>
                      <a:noFill/>
                    </a:ln>
                  </pic:spPr>
                </pic:pic>
              </a:graphicData>
            </a:graphic>
          </wp:inline>
        </w:drawing>
      </w:r>
    </w:p>
    <w:p w14:paraId="69078CCA">
      <w:pPr>
        <w:pStyle w:val="2"/>
        <w:numPr>
          <w:ilvl w:val="0"/>
          <w:numId w:val="6"/>
        </w:numPr>
        <w:ind w:left="420" w:leftChars="0" w:hanging="420" w:firstLineChars="0"/>
        <w:rPr>
          <w:rFonts w:hint="eastAsia"/>
          <w:lang w:val="en-US" w:eastAsia="zh-CN"/>
        </w:rPr>
      </w:pPr>
      <w:r>
        <w:rPr>
          <w:rFonts w:hint="eastAsia"/>
          <w:lang w:val="en-US" w:eastAsia="zh-CN"/>
        </w:rPr>
        <w:t>组织树修改：支持在组织树上修改组织信息。</w:t>
      </w:r>
    </w:p>
    <w:p w14:paraId="5E10BE08">
      <w:pPr>
        <w:pStyle w:val="2"/>
        <w:ind w:left="0" w:leftChars="0" w:firstLine="0" w:firstLineChars="0"/>
      </w:pPr>
      <w:r>
        <w:drawing>
          <wp:inline distT="0" distB="0" distL="114300" distR="114300">
            <wp:extent cx="6335395" cy="3192780"/>
            <wp:effectExtent l="0" t="0" r="4445" b="762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01"/>
                    <a:stretch>
                      <a:fillRect/>
                    </a:stretch>
                  </pic:blipFill>
                  <pic:spPr>
                    <a:xfrm>
                      <a:off x="0" y="0"/>
                      <a:ext cx="6335395" cy="3192780"/>
                    </a:xfrm>
                    <a:prstGeom prst="rect">
                      <a:avLst/>
                    </a:prstGeom>
                    <a:noFill/>
                    <a:ln>
                      <a:noFill/>
                    </a:ln>
                  </pic:spPr>
                </pic:pic>
              </a:graphicData>
            </a:graphic>
          </wp:inline>
        </w:drawing>
      </w:r>
    </w:p>
    <w:p w14:paraId="66AF8772">
      <w:pPr>
        <w:pStyle w:val="2"/>
        <w:ind w:left="0" w:leftChars="0" w:firstLine="0" w:firstLineChars="0"/>
      </w:pPr>
      <w:r>
        <w:drawing>
          <wp:inline distT="0" distB="0" distL="114300" distR="114300">
            <wp:extent cx="6331585" cy="3150870"/>
            <wp:effectExtent l="0" t="0" r="8255" b="381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02"/>
                    <a:stretch>
                      <a:fillRect/>
                    </a:stretch>
                  </pic:blipFill>
                  <pic:spPr>
                    <a:xfrm>
                      <a:off x="0" y="0"/>
                      <a:ext cx="6331585" cy="3150870"/>
                    </a:xfrm>
                    <a:prstGeom prst="rect">
                      <a:avLst/>
                    </a:prstGeom>
                    <a:noFill/>
                    <a:ln>
                      <a:noFill/>
                    </a:ln>
                  </pic:spPr>
                </pic:pic>
              </a:graphicData>
            </a:graphic>
          </wp:inline>
        </w:drawing>
      </w:r>
    </w:p>
    <w:p w14:paraId="767C6ABF">
      <w:pPr>
        <w:pStyle w:val="2"/>
        <w:numPr>
          <w:ilvl w:val="0"/>
          <w:numId w:val="6"/>
        </w:numPr>
        <w:ind w:left="420" w:leftChars="0" w:hanging="420" w:firstLineChars="0"/>
        <w:rPr>
          <w:rFonts w:hint="eastAsia"/>
          <w:lang w:val="en-US" w:eastAsia="zh-CN"/>
        </w:rPr>
      </w:pPr>
      <w:r>
        <w:rPr>
          <w:rFonts w:hint="eastAsia"/>
          <w:lang w:val="en-US" w:eastAsia="zh-CN"/>
        </w:rPr>
        <w:t>组织树删除：支持在组织树上删除对应的组织。</w:t>
      </w:r>
    </w:p>
    <w:p w14:paraId="5F7D3BF3">
      <w:pPr>
        <w:pStyle w:val="2"/>
        <w:ind w:left="0" w:leftChars="0" w:firstLine="0" w:firstLineChars="0"/>
        <w:rPr>
          <w:rFonts w:hint="default"/>
          <w:lang w:val="en-US" w:eastAsia="zh-CN"/>
        </w:rPr>
      </w:pPr>
      <w:r>
        <w:drawing>
          <wp:inline distT="0" distB="0" distL="114300" distR="114300">
            <wp:extent cx="6336665" cy="3150235"/>
            <wp:effectExtent l="0" t="0" r="3175" b="444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103"/>
                    <a:stretch>
                      <a:fillRect/>
                    </a:stretch>
                  </pic:blipFill>
                  <pic:spPr>
                    <a:xfrm>
                      <a:off x="0" y="0"/>
                      <a:ext cx="6336665" cy="3150235"/>
                    </a:xfrm>
                    <a:prstGeom prst="rect">
                      <a:avLst/>
                    </a:prstGeom>
                    <a:noFill/>
                    <a:ln>
                      <a:noFill/>
                    </a:ln>
                  </pic:spPr>
                </pic:pic>
              </a:graphicData>
            </a:graphic>
          </wp:inline>
        </w:drawing>
      </w:r>
    </w:p>
    <w:p w14:paraId="477362EF">
      <w:pPr>
        <w:pStyle w:val="2"/>
        <w:numPr>
          <w:ilvl w:val="0"/>
          <w:numId w:val="6"/>
        </w:numPr>
        <w:ind w:left="420" w:leftChars="0" w:hanging="420" w:firstLineChars="0"/>
        <w:rPr>
          <w:rFonts w:hint="eastAsia"/>
          <w:lang w:val="en-US" w:eastAsia="zh-CN"/>
        </w:rPr>
      </w:pPr>
      <w:r>
        <w:rPr>
          <w:rFonts w:hint="eastAsia"/>
          <w:lang w:val="en-US" w:eastAsia="zh-CN"/>
        </w:rPr>
        <w:t>组织树信息查询：支持根据组织树名称进行组织信息查询。</w:t>
      </w:r>
    </w:p>
    <w:p w14:paraId="75923B3B">
      <w:pPr>
        <w:pStyle w:val="2"/>
        <w:ind w:left="0" w:leftChars="0" w:firstLine="0" w:firstLineChars="0"/>
      </w:pPr>
      <w:r>
        <w:drawing>
          <wp:inline distT="0" distB="0" distL="114300" distR="114300">
            <wp:extent cx="6337935" cy="3127375"/>
            <wp:effectExtent l="0" t="0" r="1905" b="1206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04"/>
                    <a:stretch>
                      <a:fillRect/>
                    </a:stretch>
                  </pic:blipFill>
                  <pic:spPr>
                    <a:xfrm>
                      <a:off x="0" y="0"/>
                      <a:ext cx="6337935" cy="3127375"/>
                    </a:xfrm>
                    <a:prstGeom prst="rect">
                      <a:avLst/>
                    </a:prstGeom>
                    <a:noFill/>
                    <a:ln>
                      <a:noFill/>
                    </a:ln>
                  </pic:spPr>
                </pic:pic>
              </a:graphicData>
            </a:graphic>
          </wp:inline>
        </w:drawing>
      </w:r>
    </w:p>
    <w:p w14:paraId="24C6B652">
      <w:pPr>
        <w:pStyle w:val="2"/>
        <w:ind w:left="0" w:leftChars="0" w:firstLine="0" w:firstLineChars="0"/>
        <w:rPr>
          <w:rFonts w:hint="default"/>
          <w:lang w:val="en-US" w:eastAsia="zh-CN"/>
        </w:rPr>
      </w:pPr>
    </w:p>
    <w:p w14:paraId="6778EEFE">
      <w:pPr>
        <w:pStyle w:val="2"/>
        <w:numPr>
          <w:ilvl w:val="0"/>
          <w:numId w:val="6"/>
        </w:numPr>
        <w:ind w:left="420" w:leftChars="0" w:hanging="420" w:firstLineChars="0"/>
        <w:rPr>
          <w:rFonts w:hint="eastAsia"/>
          <w:lang w:val="en-US" w:eastAsia="zh-CN"/>
        </w:rPr>
      </w:pPr>
      <w:r>
        <w:rPr>
          <w:rFonts w:hint="eastAsia"/>
          <w:lang w:val="en-US" w:eastAsia="zh-CN"/>
        </w:rPr>
        <w:t>组织内用户信息展示：支持在选中组织树后展示组织内的用户信息。同时支持在组织树内添加用户信息。</w:t>
      </w:r>
    </w:p>
    <w:p w14:paraId="5E569F1D">
      <w:pPr>
        <w:pStyle w:val="2"/>
        <w:ind w:left="0" w:leftChars="0" w:firstLine="0" w:firstLineChars="0"/>
      </w:pPr>
      <w:r>
        <w:drawing>
          <wp:inline distT="0" distB="0" distL="114300" distR="114300">
            <wp:extent cx="6336665" cy="3098800"/>
            <wp:effectExtent l="0" t="0" r="3175" b="1016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05"/>
                    <a:stretch>
                      <a:fillRect/>
                    </a:stretch>
                  </pic:blipFill>
                  <pic:spPr>
                    <a:xfrm>
                      <a:off x="0" y="0"/>
                      <a:ext cx="6336665" cy="3098800"/>
                    </a:xfrm>
                    <a:prstGeom prst="rect">
                      <a:avLst/>
                    </a:prstGeom>
                    <a:noFill/>
                    <a:ln>
                      <a:noFill/>
                    </a:ln>
                  </pic:spPr>
                </pic:pic>
              </a:graphicData>
            </a:graphic>
          </wp:inline>
        </w:drawing>
      </w:r>
    </w:p>
    <w:p w14:paraId="2F305B59">
      <w:pPr>
        <w:pStyle w:val="2"/>
        <w:ind w:left="0" w:leftChars="0" w:firstLine="0" w:firstLineChars="0"/>
        <w:rPr>
          <w:rFonts w:hint="default"/>
          <w:lang w:val="en-US" w:eastAsia="zh-CN"/>
        </w:rPr>
      </w:pPr>
      <w:r>
        <w:drawing>
          <wp:inline distT="0" distB="0" distL="114300" distR="114300">
            <wp:extent cx="6333490" cy="3070225"/>
            <wp:effectExtent l="0" t="0" r="6350" b="8255"/>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106"/>
                    <a:stretch>
                      <a:fillRect/>
                    </a:stretch>
                  </pic:blipFill>
                  <pic:spPr>
                    <a:xfrm>
                      <a:off x="0" y="0"/>
                      <a:ext cx="6333490" cy="3070225"/>
                    </a:xfrm>
                    <a:prstGeom prst="rect">
                      <a:avLst/>
                    </a:prstGeom>
                    <a:noFill/>
                    <a:ln>
                      <a:noFill/>
                    </a:ln>
                  </pic:spPr>
                </pic:pic>
              </a:graphicData>
            </a:graphic>
          </wp:inline>
        </w:drawing>
      </w:r>
    </w:p>
    <w:p w14:paraId="1F0C57F8">
      <w:pPr>
        <w:pStyle w:val="38"/>
        <w:numPr>
          <w:ilvl w:val="2"/>
          <w:numId w:val="1"/>
        </w:numPr>
        <w:outlineLvl w:val="2"/>
        <w:rPr>
          <w:rFonts w:hint="eastAsia"/>
        </w:rPr>
      </w:pPr>
      <w:r>
        <w:rPr>
          <w:rFonts w:hint="eastAsia"/>
        </w:rPr>
        <w:t>接入网关</w:t>
      </w:r>
    </w:p>
    <w:p w14:paraId="608B1162">
      <w:pPr>
        <w:pStyle w:val="38"/>
        <w:numPr>
          <w:ilvl w:val="0"/>
          <w:numId w:val="0"/>
        </w:numPr>
        <w:ind w:leftChars="0"/>
        <w:outlineLvl w:val="2"/>
        <w:rPr>
          <w:rFonts w:hint="eastAsia"/>
        </w:rPr>
      </w:pPr>
    </w:p>
    <w:p w14:paraId="5632118C">
      <w:pPr>
        <w:pStyle w:val="38"/>
        <w:numPr>
          <w:ilvl w:val="3"/>
          <w:numId w:val="1"/>
        </w:numPr>
        <w:outlineLvl w:val="3"/>
        <w:rPr>
          <w:rFonts w:hint="eastAsia"/>
        </w:rPr>
      </w:pPr>
      <w:r>
        <w:rPr>
          <w:rFonts w:hint="eastAsia"/>
        </w:rPr>
        <w:t>模型接入</w:t>
      </w:r>
    </w:p>
    <w:p w14:paraId="59D81687">
      <w:pPr>
        <w:pStyle w:val="38"/>
        <w:numPr>
          <w:ilvl w:val="3"/>
          <w:numId w:val="1"/>
        </w:numPr>
        <w:outlineLvl w:val="3"/>
        <w:rPr>
          <w:rFonts w:hint="eastAsia"/>
          <w:highlight w:val="yellow"/>
        </w:rPr>
      </w:pPr>
      <w:commentRangeStart w:id="9"/>
      <w:r>
        <w:rPr>
          <w:rFonts w:hint="eastAsia"/>
          <w:highlight w:val="yellow"/>
        </w:rPr>
        <w:t>工具接入</w:t>
      </w:r>
    </w:p>
    <w:p w14:paraId="4AA581F5">
      <w:pPr>
        <w:pStyle w:val="38"/>
        <w:numPr>
          <w:ilvl w:val="3"/>
          <w:numId w:val="1"/>
        </w:numPr>
        <w:outlineLvl w:val="3"/>
        <w:rPr>
          <w:rFonts w:hint="eastAsia"/>
          <w:highlight w:val="yellow"/>
        </w:rPr>
      </w:pPr>
      <w:r>
        <w:rPr>
          <w:rFonts w:hint="eastAsia"/>
          <w:highlight w:val="yellow"/>
        </w:rPr>
        <w:t>智能应用接入</w:t>
      </w:r>
      <w:commentRangeEnd w:id="9"/>
      <w:r>
        <w:commentReference w:id="9"/>
      </w:r>
    </w:p>
    <w:p w14:paraId="516018E0">
      <w:pPr>
        <w:pStyle w:val="38"/>
        <w:numPr>
          <w:ilvl w:val="1"/>
          <w:numId w:val="1"/>
        </w:numPr>
        <w:outlineLvl w:val="1"/>
        <w:rPr>
          <w:rFonts w:hint="eastAsia"/>
          <w:highlight w:val="yellow"/>
        </w:rPr>
      </w:pPr>
      <w:commentRangeStart w:id="10"/>
      <w:r>
        <w:rPr>
          <w:rFonts w:hint="eastAsia"/>
          <w:highlight w:val="yellow"/>
        </w:rPr>
        <w:t>大模型应用</w:t>
      </w:r>
      <w:commentRangeEnd w:id="10"/>
      <w:r>
        <w:commentReference w:id="10"/>
      </w:r>
    </w:p>
    <w:p w14:paraId="41B3797D">
      <w:pPr>
        <w:ind w:firstLine="0"/>
        <w:rPr>
          <w:rFonts w:hint="eastAsia"/>
        </w:rPr>
      </w:pPr>
    </w:p>
    <w:p w14:paraId="4903588E">
      <w:pPr>
        <w:pStyle w:val="38"/>
        <w:numPr>
          <w:ilvl w:val="2"/>
          <w:numId w:val="1"/>
        </w:numPr>
        <w:outlineLvl w:val="2"/>
        <w:rPr>
          <w:rFonts w:hint="eastAsia"/>
        </w:rPr>
      </w:pPr>
      <w:r>
        <w:rPr>
          <w:rFonts w:hint="eastAsia"/>
        </w:rPr>
        <w:t>写作助手</w:t>
      </w:r>
    </w:p>
    <w:p w14:paraId="57A567A7">
      <w:pPr>
        <w:pStyle w:val="38"/>
        <w:numPr>
          <w:ilvl w:val="3"/>
          <w:numId w:val="1"/>
        </w:numPr>
        <w:outlineLvl w:val="3"/>
        <w:rPr>
          <w:rFonts w:hint="eastAsia"/>
        </w:rPr>
      </w:pPr>
      <w:r>
        <w:rPr>
          <w:rFonts w:hint="eastAsia"/>
        </w:rPr>
        <w:t>word写作</w:t>
      </w:r>
    </w:p>
    <w:p w14:paraId="7F8664D4">
      <w:pPr>
        <w:pStyle w:val="38"/>
        <w:numPr>
          <w:ilvl w:val="3"/>
          <w:numId w:val="1"/>
        </w:numPr>
        <w:outlineLvl w:val="3"/>
        <w:rPr>
          <w:rFonts w:hint="eastAsia"/>
        </w:rPr>
      </w:pPr>
      <w:r>
        <w:rPr>
          <w:rFonts w:hint="eastAsia"/>
        </w:rPr>
        <w:t>我的文稿</w:t>
      </w:r>
    </w:p>
    <w:p w14:paraId="014E9D8D">
      <w:pPr>
        <w:pStyle w:val="38"/>
        <w:numPr>
          <w:ilvl w:val="3"/>
          <w:numId w:val="1"/>
        </w:numPr>
        <w:outlineLvl w:val="3"/>
        <w:rPr>
          <w:rFonts w:hint="eastAsia"/>
        </w:rPr>
      </w:pPr>
      <w:r>
        <w:rPr>
          <w:rFonts w:hint="eastAsia"/>
        </w:rPr>
        <w:t>我的素材</w:t>
      </w:r>
    </w:p>
    <w:p w14:paraId="7F26A8A5">
      <w:pPr>
        <w:pStyle w:val="38"/>
        <w:numPr>
          <w:ilvl w:val="2"/>
          <w:numId w:val="1"/>
        </w:numPr>
        <w:outlineLvl w:val="2"/>
        <w:rPr>
          <w:rFonts w:hint="eastAsia"/>
        </w:rPr>
      </w:pPr>
      <w:r>
        <w:rPr>
          <w:rFonts w:hint="eastAsia"/>
        </w:rPr>
        <w:t>问答助手</w:t>
      </w:r>
    </w:p>
    <w:p w14:paraId="194F56B2">
      <w:pPr>
        <w:pStyle w:val="38"/>
        <w:numPr>
          <w:ilvl w:val="3"/>
          <w:numId w:val="1"/>
        </w:numPr>
        <w:outlineLvl w:val="3"/>
        <w:rPr>
          <w:rFonts w:hint="eastAsia"/>
        </w:rPr>
      </w:pPr>
      <w:r>
        <w:rPr>
          <w:rFonts w:hint="eastAsia"/>
        </w:rPr>
        <w:t>对话问答</w:t>
      </w:r>
    </w:p>
    <w:p w14:paraId="13BDA244">
      <w:pPr>
        <w:pStyle w:val="38"/>
        <w:numPr>
          <w:ilvl w:val="3"/>
          <w:numId w:val="1"/>
        </w:numPr>
        <w:outlineLvl w:val="3"/>
        <w:rPr>
          <w:rFonts w:hint="eastAsia"/>
        </w:rPr>
      </w:pPr>
      <w:r>
        <w:rPr>
          <w:rFonts w:hint="eastAsia"/>
        </w:rPr>
        <w:t>切换模型</w:t>
      </w:r>
    </w:p>
    <w:p w14:paraId="2C6CD1A8">
      <w:pPr>
        <w:pStyle w:val="38"/>
        <w:numPr>
          <w:ilvl w:val="3"/>
          <w:numId w:val="1"/>
        </w:numPr>
        <w:outlineLvl w:val="3"/>
        <w:rPr>
          <w:rFonts w:hint="eastAsia"/>
        </w:rPr>
      </w:pPr>
      <w:r>
        <w:rPr>
          <w:rFonts w:hint="eastAsia"/>
        </w:rPr>
        <w:t>会话管理</w:t>
      </w:r>
    </w:p>
    <w:p w14:paraId="7BD80E92">
      <w:pPr>
        <w:pStyle w:val="38"/>
        <w:numPr>
          <w:ilvl w:val="2"/>
          <w:numId w:val="1"/>
        </w:numPr>
        <w:outlineLvl w:val="2"/>
        <w:rPr>
          <w:rFonts w:hint="eastAsia"/>
        </w:rPr>
      </w:pPr>
      <w:r>
        <w:rPr>
          <w:rFonts w:hint="eastAsia"/>
        </w:rPr>
        <w:t>智能问数助手</w:t>
      </w:r>
    </w:p>
    <w:p w14:paraId="4408DDC8">
      <w:pPr>
        <w:pStyle w:val="38"/>
        <w:numPr>
          <w:ilvl w:val="3"/>
          <w:numId w:val="1"/>
        </w:numPr>
        <w:outlineLvl w:val="3"/>
        <w:rPr>
          <w:rFonts w:hint="eastAsia"/>
        </w:rPr>
      </w:pPr>
      <w:r>
        <w:rPr>
          <w:rFonts w:hint="eastAsia"/>
        </w:rPr>
        <w:t>对话数据分析</w:t>
      </w:r>
    </w:p>
    <w:p w14:paraId="233125D6">
      <w:pPr>
        <w:pStyle w:val="38"/>
        <w:numPr>
          <w:ilvl w:val="3"/>
          <w:numId w:val="1"/>
        </w:numPr>
        <w:outlineLvl w:val="3"/>
        <w:rPr>
          <w:rFonts w:hint="eastAsia"/>
        </w:rPr>
      </w:pPr>
      <w:r>
        <w:rPr>
          <w:rFonts w:hint="eastAsia"/>
        </w:rPr>
        <w:t>动态报表设计</w:t>
      </w:r>
    </w:p>
    <w:p w14:paraId="2F8556F7">
      <w:pPr>
        <w:pStyle w:val="38"/>
        <w:numPr>
          <w:ilvl w:val="3"/>
          <w:numId w:val="1"/>
        </w:numPr>
        <w:outlineLvl w:val="3"/>
        <w:rPr>
          <w:rFonts w:hint="eastAsia"/>
        </w:rPr>
      </w:pPr>
      <w:r>
        <w:rPr>
          <w:rFonts w:hint="eastAsia"/>
        </w:rPr>
        <w:t>报表检索</w:t>
      </w:r>
    </w:p>
    <w:p w14:paraId="2965FB80">
      <w:pPr>
        <w:pStyle w:val="38"/>
        <w:numPr>
          <w:ilvl w:val="3"/>
          <w:numId w:val="1"/>
        </w:numPr>
        <w:outlineLvl w:val="3"/>
        <w:rPr>
          <w:rFonts w:hint="eastAsia"/>
        </w:rPr>
      </w:pPr>
      <w:r>
        <w:rPr>
          <w:rFonts w:hint="eastAsia"/>
        </w:rPr>
        <w:t>报表辅助</w:t>
      </w:r>
    </w:p>
    <w:p w14:paraId="3EBD1BF1">
      <w:pPr>
        <w:pStyle w:val="38"/>
        <w:numPr>
          <w:ilvl w:val="3"/>
          <w:numId w:val="1"/>
        </w:numPr>
        <w:outlineLvl w:val="3"/>
        <w:rPr>
          <w:rFonts w:hint="eastAsia"/>
        </w:rPr>
      </w:pPr>
      <w:r>
        <w:rPr>
          <w:rFonts w:hint="eastAsia"/>
        </w:rPr>
        <w:t>智能推荐</w:t>
      </w:r>
    </w:p>
    <w:p w14:paraId="1DB7A64A">
      <w:pPr>
        <w:pStyle w:val="38"/>
        <w:numPr>
          <w:ilvl w:val="2"/>
          <w:numId w:val="1"/>
        </w:numPr>
        <w:outlineLvl w:val="2"/>
        <w:rPr>
          <w:rFonts w:hint="eastAsia"/>
        </w:rPr>
      </w:pPr>
      <w:r>
        <w:rPr>
          <w:rFonts w:hint="eastAsia"/>
        </w:rPr>
        <w:t>数字人</w:t>
      </w:r>
    </w:p>
    <w:p w14:paraId="644DE671">
      <w:pPr>
        <w:pStyle w:val="38"/>
        <w:numPr>
          <w:ilvl w:val="3"/>
          <w:numId w:val="1"/>
        </w:numPr>
        <w:outlineLvl w:val="3"/>
        <w:rPr>
          <w:rFonts w:hint="eastAsia"/>
        </w:rPr>
      </w:pPr>
      <w:r>
        <w:rPr>
          <w:rFonts w:hint="eastAsia"/>
        </w:rPr>
        <w:t>数字人客服平台</w:t>
      </w:r>
    </w:p>
    <w:p w14:paraId="1B8E5BFD">
      <w:pPr>
        <w:pStyle w:val="38"/>
        <w:numPr>
          <w:ilvl w:val="3"/>
          <w:numId w:val="1"/>
        </w:numPr>
        <w:outlineLvl w:val="3"/>
        <w:rPr>
          <w:rFonts w:hint="eastAsia"/>
        </w:rPr>
      </w:pPr>
      <w:r>
        <w:rPr>
          <w:rFonts w:hint="eastAsia"/>
        </w:rPr>
        <w:t>数字人播报平台</w:t>
      </w:r>
    </w:p>
    <w:p w14:paraId="4357EEC1">
      <w:pPr>
        <w:pStyle w:val="38"/>
        <w:numPr>
          <w:ilvl w:val="3"/>
          <w:numId w:val="1"/>
        </w:numPr>
        <w:outlineLvl w:val="3"/>
        <w:rPr>
          <w:rFonts w:hint="eastAsia"/>
        </w:rPr>
      </w:pPr>
      <w:r>
        <w:rPr>
          <w:rFonts w:hint="eastAsia"/>
        </w:rPr>
        <w:t>企业定制</w:t>
      </w:r>
    </w:p>
    <w:p w14:paraId="0A819ED3">
      <w:pPr>
        <w:pStyle w:val="38"/>
        <w:numPr>
          <w:ilvl w:val="2"/>
          <w:numId w:val="1"/>
        </w:numPr>
        <w:outlineLvl w:val="2"/>
        <w:rPr>
          <w:rFonts w:hint="eastAsia"/>
        </w:rPr>
      </w:pPr>
      <w:r>
        <w:rPr>
          <w:rFonts w:hint="eastAsia"/>
        </w:rPr>
        <w:t>群聊机器人</w:t>
      </w:r>
    </w:p>
    <w:p w14:paraId="7FC8729C">
      <w:pPr>
        <w:pStyle w:val="38"/>
        <w:numPr>
          <w:ilvl w:val="3"/>
          <w:numId w:val="1"/>
        </w:numPr>
        <w:outlineLvl w:val="3"/>
        <w:rPr>
          <w:rFonts w:hint="eastAsia"/>
        </w:rPr>
      </w:pPr>
      <w:r>
        <w:rPr>
          <w:rFonts w:hint="eastAsia"/>
        </w:rPr>
        <w:t>云桌面管理</w:t>
      </w:r>
    </w:p>
    <w:p w14:paraId="47E1CFF8">
      <w:pPr>
        <w:pStyle w:val="38"/>
        <w:numPr>
          <w:ilvl w:val="3"/>
          <w:numId w:val="1"/>
        </w:numPr>
        <w:outlineLvl w:val="3"/>
        <w:rPr>
          <w:rFonts w:hint="eastAsia"/>
        </w:rPr>
      </w:pPr>
      <w:r>
        <w:rPr>
          <w:rFonts w:hint="eastAsia"/>
        </w:rPr>
        <w:t>机器人管理</w:t>
      </w:r>
    </w:p>
    <w:p w14:paraId="3CF43C54">
      <w:pPr>
        <w:pStyle w:val="38"/>
        <w:numPr>
          <w:ilvl w:val="3"/>
          <w:numId w:val="1"/>
        </w:numPr>
        <w:outlineLvl w:val="3"/>
        <w:rPr>
          <w:rFonts w:hint="eastAsia"/>
        </w:rPr>
      </w:pPr>
      <w:r>
        <w:rPr>
          <w:rFonts w:hint="eastAsia"/>
        </w:rPr>
        <w:t>敏感词管理</w:t>
      </w:r>
    </w:p>
    <w:p w14:paraId="2E102193">
      <w:pPr>
        <w:pStyle w:val="38"/>
        <w:numPr>
          <w:ilvl w:val="3"/>
          <w:numId w:val="1"/>
        </w:numPr>
        <w:outlineLvl w:val="3"/>
        <w:rPr>
          <w:rFonts w:hint="eastAsia"/>
        </w:rPr>
      </w:pPr>
      <w:r>
        <w:rPr>
          <w:rFonts w:hint="eastAsia"/>
        </w:rPr>
        <w:t>客户端功能</w:t>
      </w:r>
    </w:p>
    <w:p w14:paraId="5251EEAF">
      <w:pPr>
        <w:ind w:firstLine="0"/>
        <w:rPr>
          <w:rFonts w:hint="eastAsia"/>
        </w:rPr>
      </w:pPr>
    </w:p>
    <w:p w14:paraId="7349A88A">
      <w:pPr>
        <w:ind w:firstLine="0"/>
        <w:rPr>
          <w:rFonts w:hint="eastAsia"/>
        </w:rPr>
      </w:pPr>
    </w:p>
    <w:p w14:paraId="6F3ABA21">
      <w:pPr>
        <w:pStyle w:val="38"/>
        <w:numPr>
          <w:ilvl w:val="0"/>
          <w:numId w:val="1"/>
        </w:numPr>
        <w:outlineLvl w:val="0"/>
        <w:rPr>
          <w:rFonts w:hint="eastAsia"/>
        </w:rPr>
      </w:pPr>
      <w:r>
        <w:rPr>
          <w:rFonts w:hint="eastAsia"/>
        </w:rPr>
        <w:t>业务对接设计</w:t>
      </w:r>
    </w:p>
    <w:p w14:paraId="2FF59129">
      <w:pPr>
        <w:ind w:firstLine="0"/>
        <w:rPr>
          <w:rFonts w:hint="eastAsia"/>
        </w:rPr>
      </w:pPr>
    </w:p>
    <w:p w14:paraId="05FE4A46">
      <w:pPr>
        <w:pStyle w:val="38"/>
        <w:numPr>
          <w:ilvl w:val="1"/>
          <w:numId w:val="1"/>
        </w:numPr>
        <w:outlineLvl w:val="1"/>
        <w:rPr>
          <w:rFonts w:hint="eastAsia"/>
        </w:rPr>
      </w:pPr>
      <w:r>
        <w:rPr>
          <w:rFonts w:hint="eastAsia"/>
        </w:rPr>
        <w:t>外围系统对接关系图</w:t>
      </w:r>
    </w:p>
    <w:p w14:paraId="71C18A2D">
      <w:pPr>
        <w:ind w:firstLine="0"/>
        <w:rPr>
          <w:rFonts w:hint="eastAsia"/>
        </w:rPr>
      </w:pPr>
    </w:p>
    <w:p w14:paraId="5B846D8D">
      <w:pPr>
        <w:pStyle w:val="38"/>
        <w:numPr>
          <w:ilvl w:val="1"/>
          <w:numId w:val="1"/>
        </w:numPr>
        <w:outlineLvl w:val="1"/>
        <w:rPr>
          <w:rFonts w:hint="eastAsia"/>
        </w:rPr>
      </w:pPr>
      <w:r>
        <w:rPr>
          <w:rFonts w:hint="eastAsia"/>
        </w:rPr>
        <w:t>接口开发实现方案</w:t>
      </w:r>
    </w:p>
    <w:p w14:paraId="06319764">
      <w:pPr>
        <w:ind w:firstLine="0"/>
      </w:pPr>
      <w:r>
        <w:rPr>
          <w:rFonts w:hint="eastAsia"/>
        </w:rPr>
        <w:t>与云能大模型开发平台、云能智算平台等平台的接口11个：</w:t>
      </w:r>
    </w:p>
    <w:p w14:paraId="48211CC1">
      <w:pPr>
        <w:pStyle w:val="38"/>
        <w:numPr>
          <w:ilvl w:val="2"/>
          <w:numId w:val="1"/>
        </w:numPr>
        <w:outlineLvl w:val="2"/>
      </w:pPr>
      <w:commentRangeStart w:id="11"/>
      <w:r>
        <w:rPr>
          <w:rFonts w:hint="eastAsia"/>
        </w:rPr>
        <w:t>与云能大模型开发工具链接口</w:t>
      </w:r>
      <w:commentRangeEnd w:id="11"/>
      <w:r>
        <w:commentReference w:id="11"/>
      </w:r>
    </w:p>
    <w:p w14:paraId="1A186A08">
      <w:pPr>
        <w:ind w:firstLine="0"/>
        <w:rPr>
          <w:rFonts w:hint="eastAsia"/>
        </w:rPr>
      </w:pPr>
      <w:r>
        <w:rPr>
          <w:rFonts w:hint="eastAsia"/>
        </w:rPr>
        <w:t>共2个接口，本项目以能力租用的方式，使用云能大模型开发工具链进行大模型训练、微调，进行大模型的调优工作；调优后的大模型发布到本期项目的模型管理进行模型部署。</w:t>
      </w:r>
    </w:p>
    <w:p w14:paraId="187C218E">
      <w:pPr>
        <w:pStyle w:val="38"/>
        <w:numPr>
          <w:ilvl w:val="2"/>
          <w:numId w:val="1"/>
        </w:numPr>
        <w:outlineLvl w:val="2"/>
      </w:pPr>
      <w:commentRangeStart w:id="12"/>
      <w:r>
        <w:rPr>
          <w:rFonts w:hint="eastAsia"/>
        </w:rPr>
        <w:t>与云能智算平台接口</w:t>
      </w:r>
      <w:commentRangeEnd w:id="12"/>
      <w:r>
        <w:commentReference w:id="12"/>
      </w:r>
    </w:p>
    <w:p w14:paraId="35A874D2">
      <w:pPr>
        <w:ind w:firstLine="0"/>
        <w:rPr>
          <w:rFonts w:hint="eastAsia"/>
        </w:rPr>
      </w:pPr>
      <w:r>
        <w:rPr>
          <w:rFonts w:hint="eastAsia"/>
        </w:rPr>
        <w:t>共4个接口，智算平台统一管理算力资源，对算力进行虚拟化和算力切分管理、资源监控管理等功能，本平台通过租户申请算力资源。</w:t>
      </w:r>
    </w:p>
    <w:p w14:paraId="506C16AE">
      <w:pPr>
        <w:pStyle w:val="38"/>
        <w:numPr>
          <w:ilvl w:val="2"/>
          <w:numId w:val="1"/>
        </w:numPr>
        <w:outlineLvl w:val="2"/>
      </w:pPr>
      <w:commentRangeStart w:id="13"/>
      <w:r>
        <w:rPr>
          <w:rFonts w:hint="eastAsia"/>
        </w:rPr>
        <w:t>与ESOP接口</w:t>
      </w:r>
      <w:commentRangeEnd w:id="13"/>
      <w:r>
        <w:commentReference w:id="13"/>
      </w:r>
    </w:p>
    <w:p w14:paraId="1A9673CF">
      <w:pPr>
        <w:ind w:firstLine="0"/>
        <w:rPr>
          <w:rFonts w:hint="eastAsia"/>
        </w:rPr>
      </w:pPr>
      <w:r>
        <w:rPr>
          <w:rFonts w:hint="eastAsia"/>
        </w:rPr>
        <w:t>共1个接口，将客户的订购订单信息同步给ESOP系统，进行产品的开通。</w:t>
      </w:r>
    </w:p>
    <w:p w14:paraId="4199A56D">
      <w:pPr>
        <w:pStyle w:val="38"/>
        <w:numPr>
          <w:ilvl w:val="2"/>
          <w:numId w:val="1"/>
        </w:numPr>
        <w:outlineLvl w:val="2"/>
      </w:pPr>
      <w:commentRangeStart w:id="14"/>
      <w:r>
        <w:rPr>
          <w:rFonts w:hint="eastAsia"/>
        </w:rPr>
        <w:t>与计费系统接口</w:t>
      </w:r>
      <w:commentRangeEnd w:id="14"/>
      <w:r>
        <w:commentReference w:id="14"/>
      </w:r>
    </w:p>
    <w:p w14:paraId="18E585AC">
      <w:pPr>
        <w:ind w:firstLine="0"/>
        <w:rPr>
          <w:rFonts w:hint="eastAsia"/>
        </w:rPr>
      </w:pPr>
      <w:r>
        <w:rPr>
          <w:rFonts w:hint="eastAsia"/>
        </w:rPr>
        <w:t>共2个接口，将客户订购的套餐和产品信息同步到计费系统，计费系统完成客户的计费与结算。</w:t>
      </w:r>
    </w:p>
    <w:p w14:paraId="41FB19BC">
      <w:pPr>
        <w:pStyle w:val="38"/>
        <w:numPr>
          <w:ilvl w:val="2"/>
          <w:numId w:val="1"/>
        </w:numPr>
        <w:outlineLvl w:val="2"/>
      </w:pPr>
      <w:commentRangeStart w:id="15"/>
      <w:r>
        <w:rPr>
          <w:rFonts w:hint="eastAsia"/>
        </w:rPr>
        <w:t>与合作伙伴系统接口</w:t>
      </w:r>
      <w:commentRangeEnd w:id="15"/>
      <w:r>
        <w:commentReference w:id="15"/>
      </w:r>
    </w:p>
    <w:p w14:paraId="12D6096F">
      <w:pPr>
        <w:ind w:firstLine="0"/>
      </w:pPr>
      <w:r>
        <w:rPr>
          <w:rFonts w:hint="eastAsia"/>
        </w:rPr>
        <w:t>共2个接口，本期项目将汇聚合作伙伴的智算产品，需进行智算产品的同步。</w:t>
      </w:r>
    </w:p>
    <w:p w14:paraId="59146EC0">
      <w:pPr>
        <w:ind w:firstLine="0"/>
      </w:pPr>
    </w:p>
    <w:p w14:paraId="40BD60C6">
      <w:pPr>
        <w:ind w:firstLine="0"/>
        <w:rPr>
          <w:rFonts w:hint="eastAsia"/>
        </w:rPr>
      </w:pPr>
    </w:p>
    <w:p w14:paraId="4870DD58">
      <w:pPr>
        <w:pStyle w:val="38"/>
        <w:numPr>
          <w:ilvl w:val="0"/>
          <w:numId w:val="1"/>
        </w:numPr>
        <w:outlineLvl w:val="0"/>
        <w:rPr>
          <w:rFonts w:hint="eastAsia"/>
        </w:rPr>
      </w:pPr>
      <w:r>
        <w:rPr>
          <w:rFonts w:hint="eastAsia"/>
        </w:rPr>
        <w:t>实施进度安排</w:t>
      </w:r>
    </w:p>
    <w:p w14:paraId="70FE073A">
      <w:pPr>
        <w:ind w:firstLine="0"/>
        <w:rPr>
          <w:rFonts w:hint="eastAsia"/>
        </w:rPr>
      </w:pPr>
    </w:p>
    <w:p w14:paraId="622DAC84">
      <w:pPr>
        <w:ind w:firstLine="0"/>
      </w:pPr>
    </w:p>
    <w:p w14:paraId="3BA23123">
      <w:pPr>
        <w:ind w:firstLine="0"/>
      </w:pPr>
    </w:p>
    <w:p w14:paraId="407F621C">
      <w:pPr>
        <w:ind w:firstLine="0"/>
        <w:rPr>
          <w:rFonts w:hint="eastAsia"/>
        </w:rPr>
      </w:pPr>
    </w:p>
    <w:p w14:paraId="5D11CD1F">
      <w:pPr>
        <w:pStyle w:val="38"/>
        <w:numPr>
          <w:ilvl w:val="0"/>
          <w:numId w:val="1"/>
        </w:numPr>
        <w:outlineLvl w:val="0"/>
        <w:rPr>
          <w:rFonts w:hint="eastAsia"/>
        </w:rPr>
      </w:pPr>
      <w:r>
        <w:rPr>
          <w:rFonts w:hint="eastAsia"/>
        </w:rPr>
        <w:t>应急方案</w:t>
      </w:r>
    </w:p>
    <w:p w14:paraId="72086C4B">
      <w:pPr>
        <w:ind w:firstLine="0"/>
      </w:pPr>
    </w:p>
    <w:p w14:paraId="2F5AA4BE">
      <w:pPr>
        <w:ind w:firstLine="0"/>
      </w:pPr>
    </w:p>
    <w:p w14:paraId="0F091011">
      <w:pPr>
        <w:ind w:firstLine="0"/>
        <w:rPr>
          <w:rFonts w:hint="eastAsia"/>
        </w:rPr>
      </w:pPr>
    </w:p>
    <w:p w14:paraId="2108CDFE">
      <w:pPr>
        <w:pStyle w:val="38"/>
        <w:numPr>
          <w:ilvl w:val="0"/>
          <w:numId w:val="1"/>
        </w:numPr>
        <w:outlineLvl w:val="0"/>
        <w:rPr>
          <w:rFonts w:hint="eastAsia"/>
        </w:rPr>
      </w:pPr>
      <w:r>
        <w:rPr>
          <w:rFonts w:hint="eastAsia"/>
        </w:rPr>
        <w:t>培训方案</w:t>
      </w:r>
    </w:p>
    <w:p w14:paraId="198114B4">
      <w:pPr>
        <w:pStyle w:val="38"/>
        <w:numPr>
          <w:ilvl w:val="1"/>
          <w:numId w:val="1"/>
        </w:numPr>
        <w:outlineLvl w:val="1"/>
        <w:rPr>
          <w:rFonts w:hint="eastAsia"/>
        </w:rPr>
      </w:pPr>
      <w:r>
        <w:rPr>
          <w:rFonts w:hint="eastAsia"/>
        </w:rPr>
        <w:t>现场培训</w:t>
      </w:r>
    </w:p>
    <w:p w14:paraId="1D7B00F3">
      <w:pPr>
        <w:ind w:firstLine="0"/>
        <w:rPr>
          <w:rFonts w:hint="eastAsia"/>
        </w:rPr>
      </w:pPr>
    </w:p>
    <w:p w14:paraId="086B58AA">
      <w:pPr>
        <w:pStyle w:val="38"/>
        <w:numPr>
          <w:ilvl w:val="1"/>
          <w:numId w:val="1"/>
        </w:numPr>
        <w:outlineLvl w:val="1"/>
        <w:rPr>
          <w:rFonts w:hint="eastAsia"/>
        </w:rPr>
      </w:pPr>
      <w:r>
        <w:rPr>
          <w:rFonts w:hint="eastAsia"/>
        </w:rPr>
        <w:t>在线培训</w:t>
      </w:r>
    </w:p>
    <w:p w14:paraId="01F500FF">
      <w:pPr>
        <w:ind w:firstLine="0"/>
      </w:pPr>
    </w:p>
    <w:p w14:paraId="0B68EE0B">
      <w:pPr>
        <w:ind w:firstLine="0"/>
      </w:pPr>
    </w:p>
    <w:p w14:paraId="0DE97A8C">
      <w:pPr>
        <w:ind w:firstLine="0"/>
        <w:rPr>
          <w:rFonts w:hint="eastAsia"/>
        </w:rPr>
      </w:pPr>
    </w:p>
    <w:sectPr>
      <w:pgSz w:w="11906" w:h="16838"/>
      <w:pgMar w:top="1440" w:right="1800" w:bottom="1440" w:left="120" w:header="851" w:footer="992" w:gutter="0"/>
      <w:cols w:space="425"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GRH" w:date="2025-08-07T00:49:39Z" w:initials="">
    <w:p w14:paraId="47398BEE">
      <w:pPr>
        <w:pStyle w:val="13"/>
        <w:rPr>
          <w:rFonts w:hint="eastAsia" w:eastAsia="仿宋"/>
          <w:lang w:val="en-US" w:eastAsia="zh-CN"/>
        </w:rPr>
      </w:pPr>
      <w:r>
        <w:rPr>
          <w:rFonts w:hint="eastAsia"/>
          <w:lang w:val="en-US" w:eastAsia="zh-CN"/>
        </w:rPr>
        <w:t>无</w:t>
      </w:r>
    </w:p>
  </w:comment>
  <w:comment w:id="1" w:author="GRH" w:date="2025-08-07T01:05:18Z" w:initials="">
    <w:p w14:paraId="701EE851">
      <w:pPr>
        <w:pStyle w:val="13"/>
        <w:ind w:left="0" w:leftChars="0" w:firstLine="0" w:firstLineChars="0"/>
        <w:rPr>
          <w:rFonts w:hint="default" w:eastAsia="仿宋"/>
          <w:lang w:val="en-US" w:eastAsia="zh-CN"/>
        </w:rPr>
      </w:pPr>
      <w:r>
        <w:rPr>
          <w:rFonts w:hint="eastAsia"/>
          <w:lang w:val="en-US" w:eastAsia="zh-CN"/>
        </w:rPr>
        <w:t>无内容</w:t>
      </w:r>
    </w:p>
  </w:comment>
  <w:comment w:id="2" w:author="GRH" w:date="2025-08-07T01:46:31Z" w:initials="">
    <w:p w14:paraId="0C059BB9">
      <w:pPr>
        <w:pStyle w:val="13"/>
      </w:pPr>
      <w:r>
        <w:rPr>
          <w:rFonts w:hint="eastAsia" w:ascii="宋体" w:hAnsi="宋体" w:cs="仿宋"/>
          <w:color w:val="000000"/>
          <w:kern w:val="0"/>
          <w:sz w:val="22"/>
          <w:szCs w:val="22"/>
          <w:lang w:bidi="ar"/>
        </w:rPr>
        <w:t>支持对生态伙伴的管理，对申请入驻的伙伴提供资质信息上传，并提交入驻申请。</w:t>
      </w:r>
    </w:p>
  </w:comment>
  <w:comment w:id="3" w:author="GRH" w:date="2025-08-07T01:10:26Z" w:initials="">
    <w:p w14:paraId="68305461">
      <w:pPr>
        <w:pStyle w:val="13"/>
        <w:rPr>
          <w:rFonts w:hint="eastAsia" w:eastAsia="仿宋"/>
          <w:lang w:val="en-US" w:eastAsia="zh-CN"/>
        </w:rPr>
      </w:pPr>
      <w:r>
        <w:rPr>
          <w:rFonts w:hint="eastAsia"/>
          <w:lang w:val="en-US" w:eastAsia="zh-CN"/>
        </w:rPr>
        <w:t>无</w:t>
      </w:r>
    </w:p>
  </w:comment>
  <w:comment w:id="4" w:author="GRH" w:date="2025-08-07T01:39:04Z" w:initials="">
    <w:p w14:paraId="2CD030C6">
      <w:pPr>
        <w:pStyle w:val="13"/>
        <w:rPr>
          <w:rFonts w:hint="eastAsia" w:eastAsia="仿宋"/>
          <w:lang w:val="en-US" w:eastAsia="zh-CN"/>
        </w:rPr>
      </w:pPr>
      <w:r>
        <w:rPr>
          <w:rFonts w:hint="eastAsia"/>
          <w:highlight w:val="yellow"/>
          <w:lang w:val="en-US" w:eastAsia="zh-CN"/>
        </w:rPr>
        <w:t>无</w:t>
      </w:r>
    </w:p>
  </w:comment>
  <w:comment w:id="5" w:author="GRH" w:date="2025-08-07T01:14:24Z" w:initials="">
    <w:p w14:paraId="6BBF0B67">
      <w:pPr>
        <w:pStyle w:val="13"/>
        <w:rPr>
          <w:rFonts w:hint="eastAsia" w:eastAsia="仿宋"/>
          <w:lang w:val="en-US" w:eastAsia="zh-CN"/>
        </w:rPr>
      </w:pPr>
      <w:r>
        <w:rPr>
          <w:rFonts w:hint="eastAsia"/>
          <w:lang w:val="en-US" w:eastAsia="zh-CN"/>
        </w:rPr>
        <w:t>无</w:t>
      </w:r>
    </w:p>
  </w:comment>
  <w:comment w:id="6" w:author="GRH" w:date="2025-08-07T01:15:10Z" w:initials="">
    <w:p w14:paraId="207AB8D9">
      <w:pPr>
        <w:pStyle w:val="13"/>
        <w:rPr>
          <w:rFonts w:hint="eastAsia" w:eastAsia="仿宋"/>
          <w:lang w:val="en-US" w:eastAsia="zh-CN"/>
        </w:rPr>
      </w:pPr>
      <w:r>
        <w:rPr>
          <w:rFonts w:hint="eastAsia"/>
          <w:lang w:val="en-US" w:eastAsia="zh-CN"/>
        </w:rPr>
        <w:t>智能体</w:t>
      </w:r>
    </w:p>
  </w:comment>
  <w:comment w:id="7" w:author="GRH" w:date="2025-08-07T01:40:39Z" w:initials="">
    <w:p w14:paraId="6DCB32B2">
      <w:pPr>
        <w:pStyle w:val="13"/>
      </w:pPr>
      <w:r>
        <w:rPr>
          <w:rFonts w:hint="eastAsia" w:ascii="宋体" w:hAnsi="宋体" w:cs="宋体"/>
          <w:color w:val="000000"/>
          <w:kern w:val="0"/>
          <w:sz w:val="21"/>
          <w:lang w:bidi="ar"/>
        </w:rPr>
        <w:t>模型量化、模型参数优化</w:t>
      </w:r>
    </w:p>
  </w:comment>
  <w:comment w:id="8" w:author="GRH" w:date="2025-08-07T01:15:44Z" w:initials="">
    <w:p w14:paraId="732784A3">
      <w:pPr>
        <w:pStyle w:val="13"/>
        <w:rPr>
          <w:rFonts w:hint="default" w:eastAsia="仿宋"/>
          <w:lang w:val="en-US" w:eastAsia="zh-CN"/>
        </w:rPr>
      </w:pPr>
      <w:r>
        <w:rPr>
          <w:rFonts w:hint="eastAsia"/>
          <w:highlight w:val="yellow"/>
          <w:lang w:val="en-US" w:eastAsia="zh-CN"/>
        </w:rPr>
        <w:t>WAF，</w:t>
      </w:r>
      <w:r>
        <w:rPr>
          <w:rFonts w:ascii="宋体" w:hAnsi="宋体" w:cs="仿宋"/>
          <w:color w:val="000000"/>
          <w:kern w:val="0"/>
          <w:sz w:val="22"/>
          <w:szCs w:val="22"/>
          <w:lang w:bidi="ar"/>
        </w:rPr>
        <w:t>安全敏感词</w:t>
      </w:r>
    </w:p>
  </w:comment>
  <w:comment w:id="9" w:author="GRH" w:date="2025-08-07T01:16:19Z" w:initials="">
    <w:p w14:paraId="603545A3">
      <w:pPr>
        <w:pStyle w:val="13"/>
        <w:rPr>
          <w:rFonts w:hint="eastAsia" w:eastAsia="仿宋"/>
          <w:lang w:val="en-US" w:eastAsia="zh-CN"/>
        </w:rPr>
      </w:pPr>
      <w:r>
        <w:rPr>
          <w:rFonts w:hint="eastAsia"/>
          <w:lang w:val="en-US" w:eastAsia="zh-CN"/>
        </w:rPr>
        <w:t>无</w:t>
      </w:r>
    </w:p>
  </w:comment>
  <w:comment w:id="10" w:author="GRH" w:date="2025-08-07T01:16:39Z" w:initials="">
    <w:p w14:paraId="2CB28C5E">
      <w:pPr>
        <w:pStyle w:val="13"/>
        <w:rPr>
          <w:rFonts w:hint="eastAsia" w:eastAsia="仿宋"/>
          <w:lang w:val="en-US" w:eastAsia="zh-CN"/>
        </w:rPr>
      </w:pPr>
      <w:r>
        <w:rPr>
          <w:rFonts w:hint="eastAsia"/>
          <w:lang w:val="en-US" w:eastAsia="zh-CN"/>
        </w:rPr>
        <w:t>智能体</w:t>
      </w:r>
    </w:p>
  </w:comment>
  <w:comment w:id="11" w:author="GRH" w:date="2025-08-07T01:18:28Z" w:initials="">
    <w:p w14:paraId="49EA6CA0">
      <w:pPr>
        <w:pStyle w:val="13"/>
        <w:rPr>
          <w:rFonts w:hint="default" w:eastAsia="仿宋"/>
          <w:lang w:val="en-US" w:eastAsia="zh-CN"/>
        </w:rPr>
      </w:pPr>
      <w:r>
        <w:rPr>
          <w:rFonts w:hint="eastAsia"/>
          <w:lang w:val="en-US" w:eastAsia="zh-CN"/>
        </w:rPr>
        <w:t>对接训练后的模型，有模型导出到我们平台</w:t>
      </w:r>
    </w:p>
  </w:comment>
  <w:comment w:id="12" w:author="GRH" w:date="2025-08-07T01:44:18Z" w:initials="">
    <w:p w14:paraId="4EBE324B">
      <w:pPr>
        <w:pStyle w:val="13"/>
        <w:rPr>
          <w:rFonts w:hint="default" w:eastAsia="仿宋"/>
          <w:lang w:val="en-US" w:eastAsia="zh-CN"/>
        </w:rPr>
      </w:pPr>
      <w:r>
        <w:rPr>
          <w:rFonts w:hint="eastAsia"/>
          <w:lang w:val="en-US" w:eastAsia="zh-CN"/>
        </w:rPr>
        <w:t>给云能提供算力</w:t>
      </w:r>
    </w:p>
  </w:comment>
  <w:comment w:id="13" w:author="GRH" w:date="2025-08-07T01:44:35Z" w:initials="">
    <w:p w14:paraId="4EED823E">
      <w:pPr>
        <w:pStyle w:val="13"/>
        <w:rPr>
          <w:rFonts w:hint="default" w:eastAsia="仿宋"/>
          <w:lang w:val="en-US" w:eastAsia="zh-CN"/>
        </w:rPr>
      </w:pPr>
      <w:r>
        <w:rPr>
          <w:rFonts w:hint="eastAsia"/>
          <w:lang w:val="en-US" w:eastAsia="zh-CN"/>
        </w:rPr>
        <w:t>计费对接，订单同步</w:t>
      </w:r>
    </w:p>
  </w:comment>
  <w:comment w:id="14" w:author="GRH" w:date="2025-08-07T01:45:04Z" w:initials="">
    <w:p w14:paraId="77E08D75">
      <w:pPr>
        <w:pStyle w:val="13"/>
        <w:rPr>
          <w:rFonts w:hint="default"/>
          <w:lang w:val="en-US"/>
        </w:rPr>
      </w:pPr>
      <w:r>
        <w:rPr>
          <w:rFonts w:hint="eastAsia"/>
          <w:lang w:val="en-US" w:eastAsia="zh-CN"/>
        </w:rPr>
        <w:t>计费对接，套餐和计量信息同步</w:t>
      </w:r>
    </w:p>
  </w:comment>
  <w:comment w:id="15" w:author="GRH" w:date="2025-08-07T01:45:41Z" w:initials="">
    <w:p w14:paraId="71A18962">
      <w:pPr>
        <w:pStyle w:val="13"/>
        <w:rPr>
          <w:rFonts w:hint="default" w:eastAsia="仿宋"/>
          <w:lang w:val="en-US" w:eastAsia="zh-CN"/>
        </w:rPr>
      </w:pPr>
      <w:r>
        <w:rPr>
          <w:rFonts w:hint="eastAsia"/>
          <w:lang w:val="en-US" w:eastAsia="zh-CN"/>
        </w:rPr>
        <w:t>合作伙伴注册</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47398BEE" w15:done="0"/>
  <w15:commentEx w15:paraId="701EE851" w15:done="0"/>
  <w15:commentEx w15:paraId="0C059BB9" w15:done="0"/>
  <w15:commentEx w15:paraId="68305461" w15:done="0"/>
  <w15:commentEx w15:paraId="2CD030C6" w15:done="0"/>
  <w15:commentEx w15:paraId="6BBF0B67" w15:done="0"/>
  <w15:commentEx w15:paraId="207AB8D9" w15:done="0"/>
  <w15:commentEx w15:paraId="6DCB32B2" w15:done="0"/>
  <w15:commentEx w15:paraId="732784A3" w15:done="0"/>
  <w15:commentEx w15:paraId="603545A3" w15:done="0"/>
  <w15:commentEx w15:paraId="2CB28C5E" w15:done="0"/>
  <w15:commentEx w15:paraId="49EA6CA0" w15:done="0"/>
  <w15:commentEx w15:paraId="4EBE324B" w15:done="0"/>
  <w15:commentEx w15:paraId="4EED823E" w15:done="0"/>
  <w15:commentEx w15:paraId="77E08D75" w15:done="0"/>
  <w15:commentEx w15:paraId="71A1896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modern"/>
    <w:pitch w:val="default"/>
    <w:sig w:usb0="E0002EFF" w:usb1="C000785B" w:usb2="00000009" w:usb3="00000000" w:csb0="400001FF" w:csb1="FFFF0000"/>
  </w:font>
  <w:font w:name="宋体">
    <w:panose1 w:val="02010600030101010101"/>
    <w:charset w:val="88"/>
    <w:family w:val="script"/>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UI">
    <w:panose1 w:val="020B0502040204020203"/>
    <w:charset w:val="00"/>
    <w:family w:val="auto"/>
    <w:pitch w:val="default"/>
    <w:sig w:usb0="E4002EFF" w:usb1="C000E47F" w:usb2="00000009" w:usb3="00000000" w:csb0="200001FF" w:csb1="00000000"/>
  </w:font>
  <w:font w:name="Symbol">
    <w:panose1 w:val="05050102010706020507"/>
    <w:charset w:val="00"/>
    <w:family w:val="auto"/>
    <w:pitch w:val="default"/>
    <w:sig w:usb0="00000000" w:usb1="00000000" w:usb2="00000000" w:usb3="00000000" w:csb0="80000000" w:csb1="00000000"/>
  </w:font>
  <w:font w:name="Courier New">
    <w:panose1 w:val="02070309020205020404"/>
    <w:charset w:val="00"/>
    <w:family w:val="auto"/>
    <w:pitch w:val="default"/>
    <w:sig w:usb0="E0002EFF" w:usb1="C0007843" w:usb2="00000009" w:usb3="00000000" w:csb0="400001FF" w:csb1="FFFF0000"/>
  </w:font>
  <w:font w:name="Wingdings">
    <w:panose1 w:val="05000000000000000000"/>
    <w:charset w:val="00"/>
    <w:family w:val="auto"/>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pPr>
      <w:r>
        <w:separator/>
      </w:r>
    </w:p>
  </w:footnote>
  <w:footnote w:type="continuationSeparator" w:id="1">
    <w:p>
      <w:pPr>
        <w:spacing w:before="0" w:after="0"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6A55160"/>
    <w:multiLevelType w:val="multilevel"/>
    <w:tmpl w:val="96A55160"/>
    <w:lvl w:ilvl="0" w:tentative="0">
      <w:start w:val="1"/>
      <w:numFmt w:val="decimal"/>
      <w:lvlText w:val="%1)"/>
      <w:lvlJc w:val="left"/>
      <w:pPr>
        <w:tabs>
          <w:tab w:val="left" w:pos="987"/>
        </w:tabs>
        <w:ind w:left="987" w:hanging="420"/>
      </w:pPr>
    </w:lvl>
    <w:lvl w:ilvl="1" w:tentative="0">
      <w:start w:val="1"/>
      <w:numFmt w:val="lowerLetter"/>
      <w:lvlText w:val="%2)"/>
      <w:lvlJc w:val="left"/>
      <w:pPr>
        <w:tabs>
          <w:tab w:val="left" w:pos="1407"/>
        </w:tabs>
        <w:ind w:left="1407" w:hanging="420"/>
      </w:pPr>
    </w:lvl>
    <w:lvl w:ilvl="2" w:tentative="0">
      <w:start w:val="1"/>
      <w:numFmt w:val="lowerRoman"/>
      <w:lvlText w:val="%3."/>
      <w:lvlJc w:val="right"/>
      <w:pPr>
        <w:tabs>
          <w:tab w:val="left" w:pos="1827"/>
        </w:tabs>
        <w:ind w:left="1827" w:hanging="420"/>
      </w:pPr>
    </w:lvl>
    <w:lvl w:ilvl="3" w:tentative="0">
      <w:start w:val="1"/>
      <w:numFmt w:val="decimal"/>
      <w:lvlText w:val="%4."/>
      <w:lvlJc w:val="left"/>
      <w:pPr>
        <w:tabs>
          <w:tab w:val="left" w:pos="2247"/>
        </w:tabs>
        <w:ind w:left="2247" w:hanging="420"/>
      </w:pPr>
    </w:lvl>
    <w:lvl w:ilvl="4" w:tentative="0">
      <w:start w:val="1"/>
      <w:numFmt w:val="lowerLetter"/>
      <w:lvlText w:val="%5)"/>
      <w:lvlJc w:val="left"/>
      <w:pPr>
        <w:tabs>
          <w:tab w:val="left" w:pos="2667"/>
        </w:tabs>
        <w:ind w:left="2667" w:hanging="420"/>
      </w:pPr>
    </w:lvl>
    <w:lvl w:ilvl="5" w:tentative="0">
      <w:start w:val="1"/>
      <w:numFmt w:val="lowerRoman"/>
      <w:lvlText w:val="%6."/>
      <w:lvlJc w:val="right"/>
      <w:pPr>
        <w:tabs>
          <w:tab w:val="left" w:pos="3087"/>
        </w:tabs>
        <w:ind w:left="3087" w:hanging="420"/>
      </w:pPr>
    </w:lvl>
    <w:lvl w:ilvl="6" w:tentative="0">
      <w:start w:val="1"/>
      <w:numFmt w:val="decimal"/>
      <w:lvlText w:val="%7."/>
      <w:lvlJc w:val="left"/>
      <w:pPr>
        <w:tabs>
          <w:tab w:val="left" w:pos="3507"/>
        </w:tabs>
        <w:ind w:left="3507" w:hanging="420"/>
      </w:pPr>
    </w:lvl>
    <w:lvl w:ilvl="7" w:tentative="0">
      <w:start w:val="1"/>
      <w:numFmt w:val="lowerLetter"/>
      <w:lvlText w:val="%8)"/>
      <w:lvlJc w:val="left"/>
      <w:pPr>
        <w:tabs>
          <w:tab w:val="left" w:pos="3927"/>
        </w:tabs>
        <w:ind w:left="3927" w:hanging="420"/>
      </w:pPr>
    </w:lvl>
    <w:lvl w:ilvl="8" w:tentative="0">
      <w:start w:val="1"/>
      <w:numFmt w:val="lowerRoman"/>
      <w:lvlText w:val="%9."/>
      <w:lvlJc w:val="right"/>
      <w:pPr>
        <w:tabs>
          <w:tab w:val="left" w:pos="4347"/>
        </w:tabs>
        <w:ind w:left="4347" w:hanging="420"/>
      </w:pPr>
    </w:lvl>
  </w:abstractNum>
  <w:abstractNum w:abstractNumId="1">
    <w:nsid w:val="B434E5CC"/>
    <w:multiLevelType w:val="singleLevel"/>
    <w:tmpl w:val="B434E5CC"/>
    <w:lvl w:ilvl="0" w:tentative="0">
      <w:start w:val="1"/>
      <w:numFmt w:val="bullet"/>
      <w:lvlText w:val=""/>
      <w:lvlJc w:val="left"/>
      <w:pPr>
        <w:ind w:left="420" w:hanging="420"/>
      </w:pPr>
      <w:rPr>
        <w:rFonts w:hint="default" w:ascii="Wingdings" w:hAnsi="Wingdings"/>
      </w:rPr>
    </w:lvl>
  </w:abstractNum>
  <w:abstractNum w:abstractNumId="2">
    <w:nsid w:val="21A4DD48"/>
    <w:multiLevelType w:val="singleLevel"/>
    <w:tmpl w:val="21A4DD48"/>
    <w:lvl w:ilvl="0" w:tentative="0">
      <w:start w:val="1"/>
      <w:numFmt w:val="bullet"/>
      <w:lvlText w:val=""/>
      <w:lvlJc w:val="left"/>
      <w:pPr>
        <w:ind w:left="420" w:hanging="420"/>
      </w:pPr>
      <w:rPr>
        <w:rFonts w:hint="default" w:ascii="Wingdings" w:hAnsi="Wingdings"/>
      </w:rPr>
    </w:lvl>
  </w:abstractNum>
  <w:abstractNum w:abstractNumId="3">
    <w:nsid w:val="23245F7A"/>
    <w:multiLevelType w:val="multilevel"/>
    <w:tmpl w:val="23245F7A"/>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
    <w:nsid w:val="40291722"/>
    <w:multiLevelType w:val="multilevel"/>
    <w:tmpl w:val="40291722"/>
    <w:lvl w:ilvl="0" w:tentative="0">
      <w:start w:val="1"/>
      <w:numFmt w:val="decimalEnclosedCircle"/>
      <w:lvlText w:val="%1"/>
      <w:lvlJc w:val="left"/>
      <w:pPr>
        <w:tabs>
          <w:tab w:val="left" w:pos="0"/>
        </w:tabs>
        <w:ind w:left="0" w:firstLine="480"/>
      </w:pPr>
      <w:rPr>
        <w:rFonts w:hint="default" w:ascii="Times New Roman" w:hAnsi="Times New Roman" w:eastAsia="宋体"/>
        <w:b w:val="0"/>
        <w:i w:val="0"/>
        <w:sz w:val="24"/>
        <w:szCs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4A8E93FD"/>
    <w:multiLevelType w:val="singleLevel"/>
    <w:tmpl w:val="4A8E93FD"/>
    <w:lvl w:ilvl="0" w:tentative="0">
      <w:start w:val="1"/>
      <w:numFmt w:val="bullet"/>
      <w:lvlText w:val=""/>
      <w:lvlJc w:val="left"/>
      <w:pPr>
        <w:ind w:left="420" w:hanging="420"/>
      </w:pPr>
      <w:rPr>
        <w:rFonts w:hint="default" w:ascii="Wingdings" w:hAnsi="Wingdings"/>
      </w:rPr>
    </w:lvl>
  </w:abstractNum>
  <w:num w:numId="1">
    <w:abstractNumId w:val="3"/>
  </w:num>
  <w:num w:numId="2">
    <w:abstractNumId w:val="4"/>
  </w:num>
  <w:num w:numId="3">
    <w:abstractNumId w:val="1"/>
  </w:num>
  <w:num w:numId="4">
    <w:abstractNumId w:val="0"/>
  </w:num>
  <w:num w:numId="5">
    <w:abstractNumId w:val="5"/>
  </w:num>
  <w:num w:numId="6">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GRH">
    <w15:presenceInfo w15:providerId="WPS Office" w15:userId="57141136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6C1A"/>
    <w:rsid w:val="00007EFC"/>
    <w:rsid w:val="00015A13"/>
    <w:rsid w:val="000A2A58"/>
    <w:rsid w:val="000B0C57"/>
    <w:rsid w:val="001009A3"/>
    <w:rsid w:val="00103E46"/>
    <w:rsid w:val="00151E54"/>
    <w:rsid w:val="0020702E"/>
    <w:rsid w:val="00233B99"/>
    <w:rsid w:val="00243CD4"/>
    <w:rsid w:val="002538F3"/>
    <w:rsid w:val="00295055"/>
    <w:rsid w:val="002F2615"/>
    <w:rsid w:val="002F4B8E"/>
    <w:rsid w:val="00316C85"/>
    <w:rsid w:val="003544C7"/>
    <w:rsid w:val="0035679C"/>
    <w:rsid w:val="00360C45"/>
    <w:rsid w:val="00396C1C"/>
    <w:rsid w:val="003D41BA"/>
    <w:rsid w:val="003D4563"/>
    <w:rsid w:val="003E1A8D"/>
    <w:rsid w:val="003F1FB4"/>
    <w:rsid w:val="00427D1D"/>
    <w:rsid w:val="00447E95"/>
    <w:rsid w:val="00472912"/>
    <w:rsid w:val="00492758"/>
    <w:rsid w:val="004938EF"/>
    <w:rsid w:val="004D2C88"/>
    <w:rsid w:val="0051395B"/>
    <w:rsid w:val="00542FFE"/>
    <w:rsid w:val="00545082"/>
    <w:rsid w:val="005622A0"/>
    <w:rsid w:val="005D06B3"/>
    <w:rsid w:val="00634142"/>
    <w:rsid w:val="006642DC"/>
    <w:rsid w:val="006727F4"/>
    <w:rsid w:val="00673161"/>
    <w:rsid w:val="0068251D"/>
    <w:rsid w:val="006A6B1E"/>
    <w:rsid w:val="006D7811"/>
    <w:rsid w:val="006E564C"/>
    <w:rsid w:val="00716E01"/>
    <w:rsid w:val="007219FA"/>
    <w:rsid w:val="00741CB1"/>
    <w:rsid w:val="00784582"/>
    <w:rsid w:val="007D0BE3"/>
    <w:rsid w:val="007F7D55"/>
    <w:rsid w:val="00802462"/>
    <w:rsid w:val="00843F8A"/>
    <w:rsid w:val="00846C08"/>
    <w:rsid w:val="00924C55"/>
    <w:rsid w:val="00960ECB"/>
    <w:rsid w:val="009A7535"/>
    <w:rsid w:val="00A014A0"/>
    <w:rsid w:val="00A62F42"/>
    <w:rsid w:val="00A8399D"/>
    <w:rsid w:val="00AB64C1"/>
    <w:rsid w:val="00AD463A"/>
    <w:rsid w:val="00B83AC9"/>
    <w:rsid w:val="00B97591"/>
    <w:rsid w:val="00BC31ED"/>
    <w:rsid w:val="00BF2610"/>
    <w:rsid w:val="00C513DE"/>
    <w:rsid w:val="00C63D04"/>
    <w:rsid w:val="00C6519C"/>
    <w:rsid w:val="00C76748"/>
    <w:rsid w:val="00C85288"/>
    <w:rsid w:val="00CC3402"/>
    <w:rsid w:val="00CE4C37"/>
    <w:rsid w:val="00D150B8"/>
    <w:rsid w:val="00D22222"/>
    <w:rsid w:val="00D26C1A"/>
    <w:rsid w:val="00D525F5"/>
    <w:rsid w:val="00D906EC"/>
    <w:rsid w:val="00D9315F"/>
    <w:rsid w:val="00DA4424"/>
    <w:rsid w:val="00DB4A44"/>
    <w:rsid w:val="00DE142C"/>
    <w:rsid w:val="00E17F5B"/>
    <w:rsid w:val="00E25D1B"/>
    <w:rsid w:val="00E26C8B"/>
    <w:rsid w:val="00E3276D"/>
    <w:rsid w:val="00E76A00"/>
    <w:rsid w:val="00EA1772"/>
    <w:rsid w:val="00EA4B8B"/>
    <w:rsid w:val="00EB5429"/>
    <w:rsid w:val="00EE34DC"/>
    <w:rsid w:val="00F13B62"/>
    <w:rsid w:val="00F520C2"/>
    <w:rsid w:val="00F616A9"/>
    <w:rsid w:val="00F61B4B"/>
    <w:rsid w:val="00F92462"/>
    <w:rsid w:val="00F93B79"/>
    <w:rsid w:val="00FC168A"/>
    <w:rsid w:val="00FF6325"/>
    <w:rsid w:val="00FF69DA"/>
    <w:rsid w:val="09EB32A7"/>
    <w:rsid w:val="0AD0196F"/>
    <w:rsid w:val="0B1B0CC4"/>
    <w:rsid w:val="0F3061E4"/>
    <w:rsid w:val="165C29E9"/>
    <w:rsid w:val="18DF13F9"/>
    <w:rsid w:val="200A4BA9"/>
    <w:rsid w:val="24F0491A"/>
    <w:rsid w:val="259925D4"/>
    <w:rsid w:val="26F80972"/>
    <w:rsid w:val="280076A8"/>
    <w:rsid w:val="29F67AFB"/>
    <w:rsid w:val="2A494EEF"/>
    <w:rsid w:val="2D7925C5"/>
    <w:rsid w:val="31464ABB"/>
    <w:rsid w:val="34AA6B80"/>
    <w:rsid w:val="38B80461"/>
    <w:rsid w:val="391D6BDB"/>
    <w:rsid w:val="44A2756C"/>
    <w:rsid w:val="45E0774E"/>
    <w:rsid w:val="46384E7E"/>
    <w:rsid w:val="490B41C9"/>
    <w:rsid w:val="4C0C1DE1"/>
    <w:rsid w:val="4C141439"/>
    <w:rsid w:val="4E426780"/>
    <w:rsid w:val="4FA13668"/>
    <w:rsid w:val="4FCA7D61"/>
    <w:rsid w:val="51DB0B9F"/>
    <w:rsid w:val="53B16D2B"/>
    <w:rsid w:val="5BBB4FCE"/>
    <w:rsid w:val="5D437F7D"/>
    <w:rsid w:val="5E8E1C8C"/>
    <w:rsid w:val="64771C0B"/>
    <w:rsid w:val="6AD73E3C"/>
    <w:rsid w:val="6ADC3C39"/>
    <w:rsid w:val="72DB26DA"/>
    <w:rsid w:val="747042DF"/>
    <w:rsid w:val="77A23905"/>
    <w:rsid w:val="7EB919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qFormat="1" w:uiPriority="99" w:semiHidden="0"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before="120" w:after="120" w:line="360" w:lineRule="auto"/>
      <w:ind w:firstLine="567"/>
      <w:jc w:val="both"/>
    </w:pPr>
    <w:rPr>
      <w:rFonts w:ascii="仿宋" w:hAnsi="仿宋" w:eastAsia="仿宋" w:cstheme="minorBidi"/>
      <w:kern w:val="2"/>
      <w:sz w:val="28"/>
      <w:szCs w:val="28"/>
      <w:lang w:val="en-US" w:eastAsia="zh-CN" w:bidi="ar-SA"/>
      <w14:ligatures w14:val="standardContextual"/>
    </w:rPr>
  </w:style>
  <w:style w:type="paragraph" w:styleId="4">
    <w:name w:val="heading 1"/>
    <w:basedOn w:val="1"/>
    <w:next w:val="1"/>
    <w:link w:val="25"/>
    <w:qFormat/>
    <w:uiPriority w:val="0"/>
    <w:pPr>
      <w:keepNext/>
      <w:keepLines/>
      <w:spacing w:before="480" w:after="80"/>
      <w:outlineLvl w:val="0"/>
    </w:pPr>
    <w:rPr>
      <w:rFonts w:asciiTheme="majorHAnsi" w:hAnsiTheme="majorHAnsi" w:eastAsiaTheme="majorEastAsia" w:cstheme="majorBidi"/>
      <w:color w:val="0F4761" w:themeColor="accent1" w:themeShade="BF"/>
      <w:sz w:val="48"/>
      <w:szCs w:val="48"/>
    </w:rPr>
  </w:style>
  <w:style w:type="paragraph" w:styleId="5">
    <w:name w:val="heading 2"/>
    <w:basedOn w:val="1"/>
    <w:next w:val="1"/>
    <w:link w:val="26"/>
    <w:unhideWhenUsed/>
    <w:qFormat/>
    <w:uiPriority w:val="0"/>
    <w:pPr>
      <w:keepNext/>
      <w:keepLines/>
      <w:spacing w:before="160" w:after="80"/>
      <w:outlineLvl w:val="1"/>
    </w:pPr>
    <w:rPr>
      <w:rFonts w:asciiTheme="majorHAnsi" w:hAnsiTheme="majorHAnsi" w:eastAsiaTheme="majorEastAsia" w:cstheme="majorBidi"/>
      <w:color w:val="0F4761" w:themeColor="accent1" w:themeShade="BF"/>
      <w:sz w:val="40"/>
      <w:szCs w:val="40"/>
    </w:rPr>
  </w:style>
  <w:style w:type="paragraph" w:styleId="6">
    <w:name w:val="heading 3"/>
    <w:basedOn w:val="1"/>
    <w:next w:val="2"/>
    <w:link w:val="27"/>
    <w:unhideWhenUsed/>
    <w:qFormat/>
    <w:uiPriority w:val="0"/>
    <w:pPr>
      <w:keepNext/>
      <w:keepLines/>
      <w:spacing w:before="160" w:after="80"/>
      <w:outlineLvl w:val="2"/>
    </w:pPr>
    <w:rPr>
      <w:rFonts w:asciiTheme="majorHAnsi" w:hAnsiTheme="majorHAnsi" w:eastAsiaTheme="majorEastAsia" w:cstheme="majorBidi"/>
      <w:color w:val="0F4761" w:themeColor="accent1" w:themeShade="BF"/>
      <w:sz w:val="32"/>
      <w:szCs w:val="32"/>
    </w:rPr>
  </w:style>
  <w:style w:type="paragraph" w:styleId="7">
    <w:name w:val="heading 4"/>
    <w:basedOn w:val="1"/>
    <w:next w:val="1"/>
    <w:link w:val="28"/>
    <w:unhideWhenUsed/>
    <w:qFormat/>
    <w:uiPriority w:val="0"/>
    <w:pPr>
      <w:keepNext/>
      <w:keepLines/>
      <w:spacing w:before="80" w:after="40"/>
      <w:outlineLvl w:val="3"/>
    </w:pPr>
    <w:rPr>
      <w:rFonts w:asciiTheme="minorHAnsi" w:hAnsiTheme="minorHAnsi" w:eastAsiaTheme="minorEastAsia" w:cstheme="majorBidi"/>
      <w:color w:val="0F4761" w:themeColor="accent1" w:themeShade="BF"/>
    </w:rPr>
  </w:style>
  <w:style w:type="paragraph" w:styleId="8">
    <w:name w:val="heading 5"/>
    <w:basedOn w:val="1"/>
    <w:next w:val="1"/>
    <w:link w:val="29"/>
    <w:unhideWhenUsed/>
    <w:qFormat/>
    <w:uiPriority w:val="0"/>
    <w:pPr>
      <w:keepNext/>
      <w:keepLines/>
      <w:spacing w:before="80" w:after="40"/>
      <w:outlineLvl w:val="4"/>
    </w:pPr>
    <w:rPr>
      <w:rFonts w:asciiTheme="minorHAnsi" w:hAnsiTheme="minorHAnsi" w:eastAsiaTheme="minorEastAsia" w:cstheme="majorBidi"/>
      <w:color w:val="0F4761" w:themeColor="accent1" w:themeShade="BF"/>
      <w:sz w:val="24"/>
      <w:szCs w:val="24"/>
    </w:rPr>
  </w:style>
  <w:style w:type="paragraph" w:styleId="9">
    <w:name w:val="heading 6"/>
    <w:basedOn w:val="1"/>
    <w:next w:val="1"/>
    <w:link w:val="30"/>
    <w:unhideWhenUsed/>
    <w:qFormat/>
    <w:uiPriority w:val="0"/>
    <w:pPr>
      <w:keepNext/>
      <w:keepLines/>
      <w:spacing w:before="40" w:after="0"/>
      <w:outlineLvl w:val="5"/>
    </w:pPr>
    <w:rPr>
      <w:rFonts w:asciiTheme="minorHAnsi" w:hAnsiTheme="minorHAnsi" w:eastAsiaTheme="minorEastAsia" w:cstheme="majorBidi"/>
      <w:b/>
      <w:bCs/>
      <w:color w:val="0F4761" w:themeColor="accent1" w:themeShade="BF"/>
    </w:rPr>
  </w:style>
  <w:style w:type="paragraph" w:styleId="10">
    <w:name w:val="heading 7"/>
    <w:basedOn w:val="1"/>
    <w:next w:val="1"/>
    <w:link w:val="31"/>
    <w:unhideWhenUsed/>
    <w:qFormat/>
    <w:uiPriority w:val="9"/>
    <w:pPr>
      <w:keepNext/>
      <w:keepLines/>
      <w:spacing w:before="40" w:after="0"/>
      <w:outlineLvl w:val="6"/>
    </w:pPr>
    <w:rPr>
      <w:rFonts w:asciiTheme="minorHAnsi" w:hAnsiTheme="minorHAnsi" w:eastAsiaTheme="minorEastAsia" w:cstheme="majorBidi"/>
      <w:b/>
      <w:bCs/>
      <w:color w:val="585858" w:themeColor="text1" w:themeTint="A6"/>
    </w:rPr>
  </w:style>
  <w:style w:type="paragraph" w:styleId="11">
    <w:name w:val="heading 8"/>
    <w:basedOn w:val="1"/>
    <w:next w:val="1"/>
    <w:link w:val="32"/>
    <w:semiHidden/>
    <w:unhideWhenUsed/>
    <w:qFormat/>
    <w:uiPriority w:val="9"/>
    <w:pPr>
      <w:keepNext/>
      <w:keepLines/>
      <w:spacing w:before="0" w:after="0"/>
      <w:outlineLvl w:val="7"/>
    </w:pPr>
    <w:rPr>
      <w:rFonts w:asciiTheme="minorHAnsi" w:hAnsiTheme="minorHAnsi" w:eastAsiaTheme="minorEastAsia" w:cstheme="majorBidi"/>
      <w:color w:val="585858" w:themeColor="text1" w:themeTint="A6"/>
    </w:rPr>
  </w:style>
  <w:style w:type="paragraph" w:styleId="12">
    <w:name w:val="heading 9"/>
    <w:basedOn w:val="1"/>
    <w:next w:val="1"/>
    <w:link w:val="33"/>
    <w:semiHidden/>
    <w:unhideWhenUsed/>
    <w:qFormat/>
    <w:uiPriority w:val="9"/>
    <w:pPr>
      <w:keepNext/>
      <w:keepLines/>
      <w:spacing w:before="0" w:after="0"/>
      <w:outlineLvl w:val="8"/>
    </w:pPr>
    <w:rPr>
      <w:rFonts w:asciiTheme="minorHAnsi" w:hAnsiTheme="minorHAnsi" w:eastAsiaTheme="majorEastAsia" w:cstheme="majorBidi"/>
      <w:color w:val="585858" w:themeColor="text1" w:themeTint="A6"/>
    </w:rPr>
  </w:style>
  <w:style w:type="character" w:default="1" w:styleId="23">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0"/>
    <w:pPr>
      <w:widowControl w:val="0"/>
      <w:spacing w:before="0" w:after="0"/>
      <w:ind w:firstLine="420" w:firstLineChars="200"/>
    </w:pPr>
    <w:rPr>
      <w:rFonts w:ascii="等线" w:hAnsi="等线" w:eastAsia="宋体" w:cs="Times New Roman"/>
      <w:sz w:val="24"/>
      <w:szCs w:val="21"/>
    </w:rPr>
  </w:style>
  <w:style w:type="paragraph" w:styleId="3">
    <w:name w:val="macro"/>
    <w:unhideWhenUsed/>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snapToGrid w:val="0"/>
      <w:jc w:val="center"/>
    </w:pPr>
    <w:rPr>
      <w:rFonts w:ascii="Courier New" w:hAnsi="Courier New" w:eastAsia="仿宋" w:cs="Times New Roman"/>
      <w:kern w:val="2"/>
      <w:sz w:val="24"/>
      <w:lang w:val="en-US" w:eastAsia="zh-CN" w:bidi="ar-SA"/>
    </w:rPr>
  </w:style>
  <w:style w:type="paragraph" w:styleId="13">
    <w:name w:val="annotation text"/>
    <w:basedOn w:val="1"/>
    <w:semiHidden/>
    <w:unhideWhenUsed/>
    <w:qFormat/>
    <w:uiPriority w:val="99"/>
    <w:pPr>
      <w:jc w:val="left"/>
    </w:pPr>
  </w:style>
  <w:style w:type="paragraph" w:styleId="14">
    <w:name w:val="Body Text"/>
    <w:basedOn w:val="1"/>
    <w:link w:val="46"/>
    <w:semiHidden/>
    <w:unhideWhenUsed/>
    <w:qFormat/>
    <w:uiPriority w:val="99"/>
  </w:style>
  <w:style w:type="paragraph" w:styleId="15">
    <w:name w:val="Plain Text"/>
    <w:basedOn w:val="1"/>
    <w:link w:val="48"/>
    <w:qFormat/>
    <w:uiPriority w:val="0"/>
    <w:pPr>
      <w:widowControl w:val="0"/>
      <w:spacing w:before="0" w:after="0" w:line="240" w:lineRule="auto"/>
      <w:ind w:firstLine="0"/>
    </w:pPr>
    <w:rPr>
      <w:rFonts w:ascii="宋体" w:hAnsi="Courier New" w:eastAsia="宋体" w:cs="Times New Roman"/>
      <w:sz w:val="21"/>
      <w:szCs w:val="21"/>
    </w:rPr>
  </w:style>
  <w:style w:type="paragraph" w:styleId="16">
    <w:name w:val="footer"/>
    <w:basedOn w:val="1"/>
    <w:link w:val="44"/>
    <w:unhideWhenUsed/>
    <w:qFormat/>
    <w:uiPriority w:val="99"/>
    <w:pPr>
      <w:tabs>
        <w:tab w:val="center" w:pos="4153"/>
        <w:tab w:val="right" w:pos="8306"/>
      </w:tabs>
      <w:snapToGrid w:val="0"/>
      <w:spacing w:line="240" w:lineRule="auto"/>
      <w:jc w:val="left"/>
    </w:pPr>
    <w:rPr>
      <w:sz w:val="18"/>
      <w:szCs w:val="18"/>
    </w:rPr>
  </w:style>
  <w:style w:type="paragraph" w:styleId="17">
    <w:name w:val="header"/>
    <w:basedOn w:val="1"/>
    <w:link w:val="43"/>
    <w:unhideWhenUsed/>
    <w:qFormat/>
    <w:uiPriority w:val="99"/>
    <w:pPr>
      <w:tabs>
        <w:tab w:val="center" w:pos="4153"/>
        <w:tab w:val="right" w:pos="8306"/>
      </w:tabs>
      <w:snapToGrid w:val="0"/>
      <w:spacing w:line="240" w:lineRule="auto"/>
      <w:jc w:val="center"/>
    </w:pPr>
    <w:rPr>
      <w:sz w:val="18"/>
      <w:szCs w:val="18"/>
    </w:rPr>
  </w:style>
  <w:style w:type="paragraph" w:styleId="18">
    <w:name w:val="Subtitle"/>
    <w:basedOn w:val="1"/>
    <w:next w:val="1"/>
    <w:link w:val="35"/>
    <w:qFormat/>
    <w:uiPriority w:val="11"/>
    <w:pPr>
      <w:spacing w:after="160"/>
      <w:ind w:firstLine="567"/>
      <w:jc w:val="center"/>
    </w:pPr>
    <w:rPr>
      <w:rFonts w:asciiTheme="majorHAnsi" w:hAnsiTheme="majorHAnsi" w:eastAsiaTheme="majorEastAsia" w:cstheme="majorBidi"/>
      <w:color w:val="585858" w:themeColor="text1" w:themeTint="A6"/>
      <w:spacing w:val="15"/>
    </w:rPr>
  </w:style>
  <w:style w:type="paragraph" w:styleId="19">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20">
    <w:name w:val="Title"/>
    <w:basedOn w:val="1"/>
    <w:next w:val="1"/>
    <w:link w:val="34"/>
    <w:qFormat/>
    <w:uiPriority w:val="10"/>
    <w:pPr>
      <w:spacing w:before="0" w:after="80" w:line="240" w:lineRule="auto"/>
      <w:contextualSpacing/>
      <w:jc w:val="center"/>
    </w:pPr>
    <w:rPr>
      <w:rFonts w:asciiTheme="majorHAnsi" w:hAnsiTheme="majorHAnsi" w:eastAsiaTheme="majorEastAsia" w:cstheme="majorBidi"/>
      <w:spacing w:val="-10"/>
      <w:kern w:val="28"/>
      <w:sz w:val="56"/>
      <w:szCs w:val="56"/>
    </w:rPr>
  </w:style>
  <w:style w:type="paragraph" w:styleId="21">
    <w:name w:val="Body Text First Indent"/>
    <w:basedOn w:val="14"/>
    <w:link w:val="47"/>
    <w:semiHidden/>
    <w:unhideWhenUsed/>
    <w:qFormat/>
    <w:uiPriority w:val="99"/>
    <w:pPr>
      <w:ind w:firstLine="420" w:firstLineChars="100"/>
    </w:pPr>
  </w:style>
  <w:style w:type="character" w:styleId="24">
    <w:name w:val="Strong"/>
    <w:basedOn w:val="23"/>
    <w:qFormat/>
    <w:uiPriority w:val="22"/>
    <w:rPr>
      <w:b/>
    </w:rPr>
  </w:style>
  <w:style w:type="character" w:customStyle="1" w:styleId="25">
    <w:name w:val="标题 1 字符"/>
    <w:basedOn w:val="23"/>
    <w:link w:val="4"/>
    <w:qFormat/>
    <w:uiPriority w:val="0"/>
    <w:rPr>
      <w:rFonts w:asciiTheme="majorHAnsi" w:hAnsiTheme="majorHAnsi" w:eastAsiaTheme="majorEastAsia" w:cstheme="majorBidi"/>
      <w:color w:val="0F4761" w:themeColor="accent1" w:themeShade="BF"/>
      <w:sz w:val="48"/>
      <w:szCs w:val="48"/>
    </w:rPr>
  </w:style>
  <w:style w:type="character" w:customStyle="1" w:styleId="26">
    <w:name w:val="标题 2 字符"/>
    <w:basedOn w:val="23"/>
    <w:link w:val="5"/>
    <w:qFormat/>
    <w:uiPriority w:val="0"/>
    <w:rPr>
      <w:rFonts w:asciiTheme="majorHAnsi" w:hAnsiTheme="majorHAnsi" w:eastAsiaTheme="majorEastAsia" w:cstheme="majorBidi"/>
      <w:color w:val="0F4761" w:themeColor="accent1" w:themeShade="BF"/>
      <w:sz w:val="40"/>
      <w:szCs w:val="40"/>
    </w:rPr>
  </w:style>
  <w:style w:type="character" w:customStyle="1" w:styleId="27">
    <w:name w:val="标题 3 字符"/>
    <w:basedOn w:val="23"/>
    <w:link w:val="6"/>
    <w:qFormat/>
    <w:uiPriority w:val="0"/>
    <w:rPr>
      <w:rFonts w:asciiTheme="majorHAnsi" w:hAnsiTheme="majorHAnsi" w:eastAsiaTheme="majorEastAsia" w:cstheme="majorBidi"/>
      <w:color w:val="0F4761" w:themeColor="accent1" w:themeShade="BF"/>
      <w:sz w:val="32"/>
      <w:szCs w:val="32"/>
    </w:rPr>
  </w:style>
  <w:style w:type="character" w:customStyle="1" w:styleId="28">
    <w:name w:val="标题 4 字符"/>
    <w:basedOn w:val="23"/>
    <w:link w:val="7"/>
    <w:semiHidden/>
    <w:qFormat/>
    <w:uiPriority w:val="9"/>
    <w:rPr>
      <w:rFonts w:asciiTheme="minorHAnsi" w:hAnsiTheme="minorHAnsi" w:eastAsiaTheme="minorEastAsia" w:cstheme="majorBidi"/>
      <w:color w:val="0F4761" w:themeColor="accent1" w:themeShade="BF"/>
    </w:rPr>
  </w:style>
  <w:style w:type="character" w:customStyle="1" w:styleId="29">
    <w:name w:val="标题 5 字符"/>
    <w:basedOn w:val="23"/>
    <w:link w:val="8"/>
    <w:semiHidden/>
    <w:qFormat/>
    <w:uiPriority w:val="9"/>
    <w:rPr>
      <w:rFonts w:asciiTheme="minorHAnsi" w:hAnsiTheme="minorHAnsi" w:eastAsiaTheme="minorEastAsia" w:cstheme="majorBidi"/>
      <w:color w:val="0F4761" w:themeColor="accent1" w:themeShade="BF"/>
      <w:sz w:val="24"/>
      <w:szCs w:val="24"/>
    </w:rPr>
  </w:style>
  <w:style w:type="character" w:customStyle="1" w:styleId="30">
    <w:name w:val="标题 6 字符"/>
    <w:basedOn w:val="23"/>
    <w:link w:val="9"/>
    <w:semiHidden/>
    <w:qFormat/>
    <w:uiPriority w:val="9"/>
    <w:rPr>
      <w:rFonts w:asciiTheme="minorHAnsi" w:hAnsiTheme="minorHAnsi" w:eastAsiaTheme="minorEastAsia" w:cstheme="majorBidi"/>
      <w:b/>
      <w:bCs/>
      <w:color w:val="0F4761" w:themeColor="accent1" w:themeShade="BF"/>
    </w:rPr>
  </w:style>
  <w:style w:type="character" w:customStyle="1" w:styleId="31">
    <w:name w:val="标题 7 字符"/>
    <w:basedOn w:val="23"/>
    <w:link w:val="10"/>
    <w:semiHidden/>
    <w:qFormat/>
    <w:uiPriority w:val="9"/>
    <w:rPr>
      <w:rFonts w:asciiTheme="minorHAnsi" w:hAnsiTheme="minorHAnsi" w:eastAsiaTheme="minorEastAsia" w:cstheme="majorBidi"/>
      <w:b/>
      <w:bCs/>
      <w:color w:val="585858" w:themeColor="text1" w:themeTint="A6"/>
    </w:rPr>
  </w:style>
  <w:style w:type="character" w:customStyle="1" w:styleId="32">
    <w:name w:val="标题 8 字符"/>
    <w:basedOn w:val="23"/>
    <w:link w:val="11"/>
    <w:semiHidden/>
    <w:qFormat/>
    <w:uiPriority w:val="9"/>
    <w:rPr>
      <w:rFonts w:asciiTheme="minorHAnsi" w:hAnsiTheme="minorHAnsi" w:eastAsiaTheme="minorEastAsia" w:cstheme="majorBidi"/>
      <w:color w:val="585858" w:themeColor="text1" w:themeTint="A6"/>
    </w:rPr>
  </w:style>
  <w:style w:type="character" w:customStyle="1" w:styleId="33">
    <w:name w:val="标题 9 字符"/>
    <w:basedOn w:val="23"/>
    <w:link w:val="12"/>
    <w:semiHidden/>
    <w:qFormat/>
    <w:uiPriority w:val="9"/>
    <w:rPr>
      <w:rFonts w:asciiTheme="minorHAnsi" w:hAnsiTheme="minorHAnsi" w:eastAsiaTheme="majorEastAsia" w:cstheme="majorBidi"/>
      <w:color w:val="585858" w:themeColor="text1" w:themeTint="A6"/>
    </w:rPr>
  </w:style>
  <w:style w:type="character" w:customStyle="1" w:styleId="34">
    <w:name w:val="标题 字符"/>
    <w:basedOn w:val="23"/>
    <w:link w:val="20"/>
    <w:qFormat/>
    <w:uiPriority w:val="10"/>
    <w:rPr>
      <w:rFonts w:asciiTheme="majorHAnsi" w:hAnsiTheme="majorHAnsi" w:eastAsiaTheme="majorEastAsia" w:cstheme="majorBidi"/>
      <w:spacing w:val="-10"/>
      <w:kern w:val="28"/>
      <w:sz w:val="56"/>
      <w:szCs w:val="56"/>
    </w:rPr>
  </w:style>
  <w:style w:type="character" w:customStyle="1" w:styleId="35">
    <w:name w:val="副标题 字符"/>
    <w:basedOn w:val="23"/>
    <w:link w:val="18"/>
    <w:qFormat/>
    <w:uiPriority w:val="11"/>
    <w:rPr>
      <w:rFonts w:asciiTheme="majorHAnsi" w:hAnsiTheme="majorHAnsi" w:eastAsiaTheme="majorEastAsia" w:cstheme="majorBidi"/>
      <w:color w:val="585858" w:themeColor="text1" w:themeTint="A6"/>
      <w:spacing w:val="15"/>
    </w:rPr>
  </w:style>
  <w:style w:type="paragraph" w:styleId="36">
    <w:name w:val="Quote"/>
    <w:basedOn w:val="1"/>
    <w:next w:val="1"/>
    <w:link w:val="37"/>
    <w:qFormat/>
    <w:uiPriority w:val="29"/>
    <w:pPr>
      <w:spacing w:before="160" w:after="160"/>
      <w:jc w:val="center"/>
    </w:pPr>
    <w:rPr>
      <w:i/>
      <w:iCs/>
      <w:color w:val="3F3F3F" w:themeColor="text1" w:themeTint="BF"/>
    </w:rPr>
  </w:style>
  <w:style w:type="character" w:customStyle="1" w:styleId="37">
    <w:name w:val="引用 字符"/>
    <w:basedOn w:val="23"/>
    <w:link w:val="36"/>
    <w:qFormat/>
    <w:uiPriority w:val="29"/>
    <w:rPr>
      <w:i/>
      <w:iCs/>
      <w:color w:val="3F3F3F" w:themeColor="text1" w:themeTint="BF"/>
    </w:rPr>
  </w:style>
  <w:style w:type="paragraph" w:styleId="38">
    <w:name w:val="List Paragraph"/>
    <w:basedOn w:val="1"/>
    <w:qFormat/>
    <w:uiPriority w:val="34"/>
    <w:pPr>
      <w:ind w:left="720"/>
      <w:contextualSpacing/>
    </w:pPr>
  </w:style>
  <w:style w:type="character" w:customStyle="1" w:styleId="39">
    <w:name w:val="Intense Emphasis"/>
    <w:basedOn w:val="23"/>
    <w:qFormat/>
    <w:uiPriority w:val="21"/>
    <w:rPr>
      <w:i/>
      <w:iCs/>
      <w:color w:val="0F4761" w:themeColor="accent1" w:themeShade="BF"/>
    </w:rPr>
  </w:style>
  <w:style w:type="paragraph" w:styleId="40">
    <w:name w:val="Intense Quote"/>
    <w:basedOn w:val="1"/>
    <w:next w:val="1"/>
    <w:link w:val="4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customStyle="1" w:styleId="41">
    <w:name w:val="明显引用 字符"/>
    <w:basedOn w:val="23"/>
    <w:link w:val="40"/>
    <w:qFormat/>
    <w:uiPriority w:val="30"/>
    <w:rPr>
      <w:i/>
      <w:iCs/>
      <w:color w:val="0F4761" w:themeColor="accent1" w:themeShade="BF"/>
    </w:rPr>
  </w:style>
  <w:style w:type="character" w:customStyle="1" w:styleId="42">
    <w:name w:val="Intense Reference"/>
    <w:basedOn w:val="23"/>
    <w:qFormat/>
    <w:uiPriority w:val="32"/>
    <w:rPr>
      <w:b/>
      <w:bCs/>
      <w:smallCaps/>
      <w:color w:val="0F4761" w:themeColor="accent1" w:themeShade="BF"/>
      <w:spacing w:val="5"/>
    </w:rPr>
  </w:style>
  <w:style w:type="character" w:customStyle="1" w:styleId="43">
    <w:name w:val="页眉 字符"/>
    <w:basedOn w:val="23"/>
    <w:link w:val="17"/>
    <w:qFormat/>
    <w:uiPriority w:val="99"/>
    <w:rPr>
      <w:sz w:val="18"/>
      <w:szCs w:val="18"/>
    </w:rPr>
  </w:style>
  <w:style w:type="character" w:customStyle="1" w:styleId="44">
    <w:name w:val="页脚 字符"/>
    <w:basedOn w:val="23"/>
    <w:link w:val="16"/>
    <w:qFormat/>
    <w:uiPriority w:val="99"/>
    <w:rPr>
      <w:sz w:val="18"/>
      <w:szCs w:val="18"/>
    </w:rPr>
  </w:style>
  <w:style w:type="paragraph" w:customStyle="1" w:styleId="45">
    <w:name w:val="文本正文"/>
    <w:basedOn w:val="21"/>
    <w:qFormat/>
    <w:uiPriority w:val="0"/>
    <w:pPr>
      <w:widowControl w:val="0"/>
      <w:spacing w:before="0" w:line="300" w:lineRule="auto"/>
      <w:ind w:firstLine="200" w:firstLineChars="200"/>
    </w:pPr>
    <w:rPr>
      <w:rFonts w:ascii="Times New Roman" w:hAnsi="Times New Roman" w:eastAsia="宋体" w:cs="Times New Roman"/>
      <w:bCs/>
      <w:sz w:val="24"/>
      <w:szCs w:val="20"/>
    </w:rPr>
  </w:style>
  <w:style w:type="character" w:customStyle="1" w:styleId="46">
    <w:name w:val="正文文本 字符"/>
    <w:basedOn w:val="23"/>
    <w:link w:val="14"/>
    <w:semiHidden/>
    <w:qFormat/>
    <w:uiPriority w:val="99"/>
  </w:style>
  <w:style w:type="character" w:customStyle="1" w:styleId="47">
    <w:name w:val="正文文本首行缩进 字符"/>
    <w:basedOn w:val="46"/>
    <w:link w:val="21"/>
    <w:semiHidden/>
    <w:qFormat/>
    <w:uiPriority w:val="99"/>
  </w:style>
  <w:style w:type="character" w:customStyle="1" w:styleId="48">
    <w:name w:val="纯文本 字符"/>
    <w:basedOn w:val="23"/>
    <w:link w:val="15"/>
    <w:qFormat/>
    <w:uiPriority w:val="0"/>
    <w:rPr>
      <w:rFonts w:ascii="宋体" w:hAnsi="Courier New" w:eastAsia="宋体" w:cs="Times New Roman"/>
      <w:sz w:val="21"/>
      <w:szCs w:val="21"/>
    </w:rPr>
  </w:style>
</w:styles>
</file>

<file path=word/_rels/document.xml.rels><?xml version="1.0" encoding="UTF-8" standalone="yes"?>
<Relationships xmlns="http://schemas.openxmlformats.org/package/2006/relationships"><Relationship Id="rId99" Type="http://schemas.openxmlformats.org/officeDocument/2006/relationships/image" Target="media/image91.png"/><Relationship Id="rId98" Type="http://schemas.openxmlformats.org/officeDocument/2006/relationships/image" Target="media/image90.png"/><Relationship Id="rId97" Type="http://schemas.openxmlformats.org/officeDocument/2006/relationships/image" Target="media/image89.png"/><Relationship Id="rId96" Type="http://schemas.openxmlformats.org/officeDocument/2006/relationships/image" Target="media/image88.png"/><Relationship Id="rId95" Type="http://schemas.openxmlformats.org/officeDocument/2006/relationships/image" Target="media/image87.png"/><Relationship Id="rId94" Type="http://schemas.openxmlformats.org/officeDocument/2006/relationships/image" Target="media/image86.png"/><Relationship Id="rId93" Type="http://schemas.openxmlformats.org/officeDocument/2006/relationships/image" Target="media/image85.png"/><Relationship Id="rId92" Type="http://schemas.openxmlformats.org/officeDocument/2006/relationships/image" Target="media/image84.png"/><Relationship Id="rId91" Type="http://schemas.openxmlformats.org/officeDocument/2006/relationships/image" Target="media/image83.png"/><Relationship Id="rId90" Type="http://schemas.openxmlformats.org/officeDocument/2006/relationships/image" Target="media/image82.png"/><Relationship Id="rId9" Type="http://schemas.openxmlformats.org/officeDocument/2006/relationships/image" Target="media/image2.png"/><Relationship Id="rId89" Type="http://schemas.openxmlformats.org/officeDocument/2006/relationships/image" Target="media/image81.png"/><Relationship Id="rId88" Type="http://schemas.openxmlformats.org/officeDocument/2006/relationships/image" Target="media/image80.png"/><Relationship Id="rId87" Type="http://schemas.openxmlformats.org/officeDocument/2006/relationships/image" Target="media/image79.png"/><Relationship Id="rId86" Type="http://schemas.openxmlformats.org/officeDocument/2006/relationships/image" Target="media/image78.png"/><Relationship Id="rId85" Type="http://schemas.openxmlformats.org/officeDocument/2006/relationships/image" Target="media/image77.png"/><Relationship Id="rId84" Type="http://schemas.openxmlformats.org/officeDocument/2006/relationships/image" Target="media/image76.png"/><Relationship Id="rId83" Type="http://schemas.openxmlformats.org/officeDocument/2006/relationships/image" Target="media/image75.png"/><Relationship Id="rId82" Type="http://schemas.openxmlformats.org/officeDocument/2006/relationships/image" Target="media/image74.png"/><Relationship Id="rId81" Type="http://schemas.openxmlformats.org/officeDocument/2006/relationships/image" Target="media/image73.png"/><Relationship Id="rId80" Type="http://schemas.openxmlformats.org/officeDocument/2006/relationships/image" Target="media/image72.png"/><Relationship Id="rId8" Type="http://schemas.openxmlformats.org/officeDocument/2006/relationships/image" Target="media/image1.png"/><Relationship Id="rId79" Type="http://schemas.openxmlformats.org/officeDocument/2006/relationships/image" Target="media/image71.png"/><Relationship Id="rId78" Type="http://schemas.openxmlformats.org/officeDocument/2006/relationships/image" Target="media/image70.png"/><Relationship Id="rId77" Type="http://schemas.openxmlformats.org/officeDocument/2006/relationships/image" Target="media/image69.png"/><Relationship Id="rId76" Type="http://schemas.openxmlformats.org/officeDocument/2006/relationships/image" Target="media/image68.png"/><Relationship Id="rId75" Type="http://schemas.openxmlformats.org/officeDocument/2006/relationships/image" Target="media/image67.png"/><Relationship Id="rId74" Type="http://schemas.openxmlformats.org/officeDocument/2006/relationships/image" Target="media/image66.png"/><Relationship Id="rId73" Type="http://schemas.openxmlformats.org/officeDocument/2006/relationships/image" Target="media/image65.png"/><Relationship Id="rId72" Type="http://schemas.openxmlformats.org/officeDocument/2006/relationships/image" Target="media/image64.png"/><Relationship Id="rId71" Type="http://schemas.openxmlformats.org/officeDocument/2006/relationships/image" Target="media/image63.png"/><Relationship Id="rId70" Type="http://schemas.openxmlformats.org/officeDocument/2006/relationships/image" Target="media/image62.png"/><Relationship Id="rId7" Type="http://schemas.openxmlformats.org/officeDocument/2006/relationships/theme" Target="theme/theme1.xml"/><Relationship Id="rId69" Type="http://schemas.openxmlformats.org/officeDocument/2006/relationships/image" Target="media/image61.png"/><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png"/><Relationship Id="rId64" Type="http://schemas.openxmlformats.org/officeDocument/2006/relationships/image" Target="media/image56.png"/><Relationship Id="rId63" Type="http://schemas.openxmlformats.org/officeDocument/2006/relationships/image" Target="media/image55.png"/><Relationship Id="rId62" Type="http://schemas.openxmlformats.org/officeDocument/2006/relationships/image" Target="media/image54.png"/><Relationship Id="rId61" Type="http://schemas.openxmlformats.org/officeDocument/2006/relationships/image" Target="media/image53.png"/><Relationship Id="rId60" Type="http://schemas.openxmlformats.org/officeDocument/2006/relationships/image" Target="media/image52.png"/><Relationship Id="rId6" Type="http://schemas.openxmlformats.org/officeDocument/2006/relationships/endnotes" Target="endnotes.xml"/><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hyperlink" Target="https://openmlsys.github.io/_images/quant-minmax.png" TargetMode="External"/><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notes" Target="footnotes.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microsoft.com/office/2011/relationships/commentsExtended" Target="commentsExtended.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comments" Target="comment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9" Type="http://schemas.microsoft.com/office/2011/relationships/people" Target="people.xml"/><Relationship Id="rId108" Type="http://schemas.openxmlformats.org/officeDocument/2006/relationships/fontTable" Target="fontTable.xml"/><Relationship Id="rId107" Type="http://schemas.openxmlformats.org/officeDocument/2006/relationships/numbering" Target="numbering.xml"/><Relationship Id="rId106" Type="http://schemas.openxmlformats.org/officeDocument/2006/relationships/image" Target="media/image98.png"/><Relationship Id="rId105" Type="http://schemas.openxmlformats.org/officeDocument/2006/relationships/image" Target="media/image97.png"/><Relationship Id="rId104" Type="http://schemas.openxmlformats.org/officeDocument/2006/relationships/image" Target="media/image96.png"/><Relationship Id="rId103" Type="http://schemas.openxmlformats.org/officeDocument/2006/relationships/image" Target="media/image95.png"/><Relationship Id="rId102" Type="http://schemas.openxmlformats.org/officeDocument/2006/relationships/image" Target="media/image94.png"/><Relationship Id="rId101" Type="http://schemas.openxmlformats.org/officeDocument/2006/relationships/image" Target="media/image93.png"/><Relationship Id="rId100" Type="http://schemas.openxmlformats.org/officeDocument/2006/relationships/image" Target="media/image92.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82</Pages>
  <Words>4698</Words>
  <Characters>4833</Characters>
  <Lines>1</Lines>
  <Paragraphs>1</Paragraphs>
  <TotalTime>11</TotalTime>
  <ScaleCrop>false</ScaleCrop>
  <LinksUpToDate>false</LinksUpToDate>
  <CharactersWithSpaces>4888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2025-08-05T11:51:00Z</dcterms:created>
  <dc:creator>卫星 洪</dc:creator>
  <cp:lastModifiedBy>半窗流年</cp:lastModifiedBy>
  <dcterms:modified xsi:type="dcterms:W3CDTF">2025-08-08T08:43:26Z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eyJoZGlkIjoiYzU4YjJkOWM2MTA0NjM0ZDkzYWYzNjA1NmQzZWQ3NzEiLCJ1c2VySWQiOiIyMzU3MzczMTEifQ==</vt:lpwstr>
  </property>
  <property fmtid="{D5CDD505-2E9C-101B-9397-08002B2CF9AE}" pid="3" name="KSOProductBuildVer">
    <vt:lpwstr>2052-12.1.0.21915</vt:lpwstr>
  </property>
  <property fmtid="{D5CDD505-2E9C-101B-9397-08002B2CF9AE}" pid="4" name="ICV">
    <vt:lpwstr>95852957569344D1A08D56B7B59ED824_13</vt:lpwstr>
  </property>
</Properties>
</file>