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71617">
      <w:pPr>
        <w:rPr>
          <w:rFonts w:hint="eastAsia"/>
        </w:rPr>
      </w:pPr>
      <w:r>
        <w:rPr>
          <w:rFonts w:hint="eastAsia"/>
        </w:rPr>
        <w:t>以“全社会物流活动（政府 + 企业 + 居民）”为统一口径，基于公开统计数据（包括官方统计数据，媒体新闻发布）与行业参数假设，严禁虚构数据！！！对 2024 年中国物流数据要素市场规模进行区间估算与逻辑校验。预测2025-2030年中国物流数据要素市场规模。</w:t>
      </w:r>
    </w:p>
    <w:p w14:paraId="293E6CCC">
      <w:pPr>
        <w:rPr>
          <w:rFonts w:hint="eastAsia"/>
        </w:rPr>
      </w:pPr>
      <w:r>
        <w:rPr>
          <w:rFonts w:hint="eastAsia"/>
        </w:rPr>
        <w:t>要求：</w:t>
      </w:r>
    </w:p>
    <w:p w14:paraId="047EAA9F">
      <w:pPr>
        <w:rPr>
          <w:rFonts w:hint="eastAsia"/>
        </w:rPr>
      </w:pPr>
      <w:r>
        <w:rPr>
          <w:rFonts w:hint="eastAsia"/>
        </w:rPr>
        <w:t>1. 需要包含基础数据与口径说明章节，详细说明各个类型的数据统计口径；</w:t>
      </w:r>
    </w:p>
    <w:p w14:paraId="3E9EB6A2">
      <w:pPr>
        <w:rPr>
          <w:rFonts w:hint="eastAsia"/>
        </w:rPr>
      </w:pPr>
      <w:r>
        <w:rPr>
          <w:rFonts w:hint="eastAsia"/>
        </w:rPr>
        <w:t>2. 使用不少于5种的测算方法，并详细介绍每一种测算方法的逻辑、公式、使用基础数据、计算过程；</w:t>
      </w:r>
    </w:p>
    <w:p w14:paraId="38BDAAC8">
      <w:pPr>
        <w:rPr>
          <w:rFonts w:hint="eastAsia"/>
        </w:rPr>
      </w:pPr>
      <w:r>
        <w:rPr>
          <w:rFonts w:hint="eastAsia"/>
        </w:rPr>
        <w:t>3. 针对所有测算方法进行结果对比；</w:t>
      </w:r>
    </w:p>
    <w:p w14:paraId="5A31F6EA">
      <w:pPr>
        <w:rPr>
          <w:rFonts w:hint="eastAsia"/>
        </w:rPr>
      </w:pPr>
      <w:r>
        <w:rPr>
          <w:rFonts w:hint="eastAsia"/>
        </w:rPr>
        <w:t>4. 给出判断和建议；</w:t>
      </w:r>
    </w:p>
    <w:p w14:paraId="6FD93987">
      <w:pPr>
        <w:rPr>
          <w:rFonts w:hint="eastAsia"/>
        </w:rPr>
      </w:pPr>
      <w:r>
        <w:rPr>
          <w:rFonts w:hint="eastAsia"/>
        </w:rPr>
        <w:t>5. 按照基准、保守、进取三个维度做2025-2030年规模预测与情景分析，需要包括预测思路与关键假设、每个维度的详细分析、结合所有维度做综合判断；</w:t>
      </w:r>
    </w:p>
    <w:p w14:paraId="489D31E0">
      <w:r>
        <w:rPr>
          <w:rFonts w:hint="eastAsia"/>
        </w:rPr>
        <w:t>6. 最后给出附录，包含关键数据域参考来源。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6E1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2025-11-28T08:57:14Z</dcterms:created>
  <dc:creator>吃斋的狼</dc:creator>
  <cp:lastModifiedBy>戰将</cp:lastModifiedBy>
  <dcterms:modified xsi:type="dcterms:W3CDTF">2025-11-28T08:57:19Z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eyJoZGlkIjoiOWM4NmVjYjFhMWZhZjBiZjVjOWIxMDUyYWRlNTM5NzQiLCJ1c2VySWQiOiI0MjExOTI1NjkifQ==</vt:lpwstr>
  </property>
  <property fmtid="{D5CDD505-2E9C-101B-9397-08002B2CF9AE}" pid="4" name="ICV">
    <vt:lpwstr>8E2731CD84514AEB8BB9FE83B982FE0C_12</vt:lpwstr>
  </property>
</Properties>
</file>